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四川省多式联运投资发展公司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中车眉山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装卸劳务服务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比选评分标准表</w:t>
      </w:r>
    </w:p>
    <w:tbl>
      <w:tblPr>
        <w:tblStyle w:val="4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22"/>
        <w:gridCol w:w="4979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snapToGrid w:val="0"/>
              <w:spacing w:beforeLines="50" w:afterLines="50" w:line="225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Hlk10842320"/>
            <w:r>
              <w:rPr>
                <w:rFonts w:hint="eastAsia" w:ascii="仿宋" w:hAnsi="仿宋" w:eastAsia="仿宋"/>
                <w:b/>
                <w:sz w:val="24"/>
              </w:rPr>
              <w:t>评分因素及分值</w:t>
            </w:r>
          </w:p>
        </w:tc>
        <w:tc>
          <w:tcPr>
            <w:tcW w:w="4979" w:type="dxa"/>
            <w:vAlign w:val="center"/>
          </w:tcPr>
          <w:p>
            <w:pPr>
              <w:snapToGrid w:val="0"/>
              <w:spacing w:beforeLines="50" w:afterLines="50" w:line="225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评分标准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beforeLines="50" w:afterLines="50" w:line="225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一、商务技术部分（50分）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1.服务方案（20分）</w:t>
            </w:r>
          </w:p>
        </w:tc>
        <w:tc>
          <w:tcPr>
            <w:tcW w:w="4979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1.服务质量、安全控制措施有力，有针对性较强的质量、安全保证体系，对项目实施落地支持辅导的针对性、完善性强，得15-20分（需要比选人提供合理条件）；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2.服务质量、安全控制措施基本合理，对项目实施落地支持辅导的针对性、完善性一般，得6-14分（需要比选人提供合理条件）；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3.服务质量、安全控制措施不完全合理，对项目实施落地支持辅导的针对性、完善性不够，得0-5分（需要比选人提供合理条件）。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根据比选申请人提供的方案进行评分。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2.业绩成果（10分）</w:t>
            </w:r>
          </w:p>
        </w:tc>
        <w:tc>
          <w:tcPr>
            <w:tcW w:w="4979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比选申请人自2019年以来，为四川省大中型企业提供过类似物流项目的成功案例个数，1个得5分，最高不超过10分。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提供合同（协议）复印件或者其他有效佐证材料。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3.项目实施团队资质（20分）</w:t>
            </w:r>
          </w:p>
        </w:tc>
        <w:tc>
          <w:tcPr>
            <w:tcW w:w="4979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1.本项目负责人成功完成过类似物流项目，并作为该项目负责人的，1个项目得5分，最高不超过10分。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2.本项目主要作业人员参与过类似物流项目，1个项目得5分，同1人参加多个项目的，每个项目按5分计，最高不超过10分。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提供合同（协议）复印件或者其他有效佐证材料。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二、报价（50分）</w:t>
            </w:r>
          </w:p>
        </w:tc>
        <w:tc>
          <w:tcPr>
            <w:tcW w:w="4979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1.比选基准价=所有有效比选申请报价的平均值。 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2.有效报价等于基准价的得40分；有效报价与基准价相比，每低1%加1分，每高1%扣1分，该项得分最高不超过50分。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1、得分按四舍五入法精确到小数点后2位数。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2、与基准价偏差率=|比选申请价格-基准价|/基准价×100%</w:t>
            </w:r>
          </w:p>
        </w:tc>
      </w:tr>
      <w:bookmarkEnd w:id="0"/>
    </w:tbl>
    <w:p>
      <w:pPr>
        <w:snapToGrid w:val="0"/>
        <w:spacing w:line="240" w:lineRule="exact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sz w:val="24"/>
        </w:rPr>
        <w:t>备注：最终得分保留2位小数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jAxYmI2NmYwYjRlZDNhOGJlNzc1YTg3YzI4YTIifQ=="/>
  </w:docVars>
  <w:rsids>
    <w:rsidRoot w:val="00000000"/>
    <w:rsid w:val="0C613FCE"/>
    <w:rsid w:val="1C237EF5"/>
    <w:rsid w:val="7BE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2022-08-02T06:15:00Z</dcterms:created>
  <dc:creator>青苏散人</dc:creator>
  <cp:lastModifiedBy>JohnnyYx</cp:lastModifiedBy>
  <dcterms:modified xsi:type="dcterms:W3CDTF">2022-08-15T09:23:58Z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8F8D15039A6E4B058D57B328C58774A4</vt:lpwstr>
  </property>
</Properties>
</file>