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b w:val="0"/>
          <w:bCs/>
          <w:sz w:val="48"/>
          <w:szCs w:val="48"/>
          <w:lang w:eastAsia="zh-CN"/>
        </w:rPr>
      </w:pPr>
      <w:r>
        <w:rPr>
          <w:rFonts w:hint="eastAsia" w:ascii="方正小标宋简体" w:eastAsia="方正小标宋简体"/>
          <w:b w:val="0"/>
          <w:bCs/>
          <w:sz w:val="48"/>
          <w:szCs w:val="48"/>
          <w:lang w:eastAsia="zh-CN"/>
        </w:rPr>
        <w:t>四川省多式联运投资发展有限公司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b w:val="0"/>
          <w:bCs/>
          <w:sz w:val="48"/>
          <w:szCs w:val="48"/>
          <w:lang w:val="en-US" w:eastAsia="zh-CN"/>
        </w:rPr>
      </w:pPr>
      <w:r>
        <w:rPr>
          <w:rFonts w:hint="eastAsia" w:ascii="方正小标宋简体" w:eastAsia="方正小标宋简体"/>
          <w:b w:val="0"/>
          <w:bCs/>
          <w:sz w:val="48"/>
          <w:szCs w:val="48"/>
          <w:lang w:val="en-US" w:eastAsia="zh-CN"/>
        </w:rPr>
        <w:t>新津高速</w:t>
      </w:r>
      <w:r>
        <w:rPr>
          <w:rFonts w:hint="eastAsia" w:ascii="方正小标宋简体" w:eastAsia="方正小标宋简体"/>
          <w:b w:val="0"/>
          <w:bCs/>
          <w:sz w:val="48"/>
          <w:szCs w:val="48"/>
          <w:lang w:eastAsia="zh-CN"/>
        </w:rPr>
        <w:t>公路</w:t>
      </w:r>
      <w:r>
        <w:rPr>
          <w:rFonts w:hint="eastAsia" w:ascii="方正小标宋简体" w:eastAsia="方正小标宋简体"/>
          <w:b w:val="0"/>
          <w:bCs/>
          <w:sz w:val="48"/>
          <w:szCs w:val="48"/>
          <w:lang w:val="en-US" w:eastAsia="zh-CN"/>
        </w:rPr>
        <w:t>智慧物流港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小标宋简体" w:eastAsia="方正小标宋简体"/>
          <w:b w:val="0"/>
          <w:bCs/>
          <w:sz w:val="48"/>
          <w:szCs w:val="48"/>
          <w:lang w:val="en-US" w:eastAsia="zh-CN"/>
        </w:rPr>
      </w:pPr>
      <w:r>
        <w:rPr>
          <w:rFonts w:hint="eastAsia" w:ascii="方正小标宋简体" w:eastAsia="方正小标宋简体"/>
          <w:b w:val="0"/>
          <w:bCs/>
          <w:sz w:val="48"/>
          <w:szCs w:val="48"/>
          <w:lang w:eastAsia="zh-CN"/>
        </w:rPr>
        <w:t>规划方案</w:t>
      </w:r>
      <w:r>
        <w:rPr>
          <w:rFonts w:hint="eastAsia" w:ascii="方正小标宋简体" w:eastAsia="方正小标宋简体"/>
          <w:b w:val="0"/>
          <w:bCs/>
          <w:sz w:val="48"/>
          <w:szCs w:val="48"/>
          <w:lang w:val="en-US" w:eastAsia="zh-CN"/>
        </w:rPr>
        <w:t>编制项目</w:t>
      </w:r>
    </w:p>
    <w:p>
      <w:pPr>
        <w:spacing w:line="240" w:lineRule="auto"/>
        <w:jc w:val="center"/>
        <w:rPr>
          <w:rFonts w:hint="eastAsia" w:ascii="方正小标宋简体" w:hAnsi="方正小标宋简体" w:eastAsia="方正小标宋简体" w:cs="方正小标宋简体"/>
          <w:b w:val="0"/>
          <w:bCs/>
          <w:sz w:val="72"/>
          <w:szCs w:val="72"/>
          <w:lang w:eastAsia="zh-CN"/>
        </w:rPr>
      </w:pPr>
    </w:p>
    <w:p>
      <w:pPr>
        <w:spacing w:line="240" w:lineRule="auto"/>
        <w:jc w:val="center"/>
        <w:rPr>
          <w:rFonts w:hint="eastAsia" w:ascii="方正小标宋简体" w:hAnsi="方正小标宋简体" w:eastAsia="方正小标宋简体" w:cs="方正小标宋简体"/>
          <w:b w:val="0"/>
          <w:bCs/>
          <w:sz w:val="72"/>
          <w:szCs w:val="72"/>
          <w:lang w:eastAsia="zh-CN"/>
        </w:rPr>
      </w:pPr>
      <w:r>
        <w:rPr>
          <w:rFonts w:hint="eastAsia" w:ascii="方正小标宋简体" w:hAnsi="方正小标宋简体" w:eastAsia="方正小标宋简体" w:cs="方正小标宋简体"/>
          <w:b w:val="0"/>
          <w:bCs/>
          <w:sz w:val="72"/>
          <w:szCs w:val="72"/>
          <w:lang w:eastAsia="zh-CN"/>
        </w:rPr>
        <w:t>比</w:t>
      </w:r>
    </w:p>
    <w:p>
      <w:pPr>
        <w:spacing w:line="240" w:lineRule="auto"/>
        <w:jc w:val="center"/>
        <w:rPr>
          <w:rFonts w:hint="eastAsia" w:ascii="方正小标宋简体" w:hAnsi="方正小标宋简体" w:eastAsia="方正小标宋简体" w:cs="方正小标宋简体"/>
          <w:b w:val="0"/>
          <w:bCs/>
          <w:sz w:val="72"/>
          <w:szCs w:val="72"/>
          <w:lang w:eastAsia="zh-CN"/>
        </w:rPr>
      </w:pPr>
      <w:r>
        <w:rPr>
          <w:rFonts w:hint="eastAsia" w:ascii="方正小标宋简体" w:hAnsi="方正小标宋简体" w:eastAsia="方正小标宋简体" w:cs="方正小标宋简体"/>
          <w:b w:val="0"/>
          <w:bCs/>
          <w:sz w:val="72"/>
          <w:szCs w:val="72"/>
          <w:lang w:eastAsia="zh-CN"/>
        </w:rPr>
        <w:t>选</w:t>
      </w:r>
    </w:p>
    <w:p>
      <w:pPr>
        <w:spacing w:line="240" w:lineRule="auto"/>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文</w:t>
      </w:r>
    </w:p>
    <w:p>
      <w:pPr>
        <w:spacing w:line="240" w:lineRule="auto"/>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件</w:t>
      </w:r>
    </w:p>
    <w:p>
      <w:pPr>
        <w:spacing w:line="240" w:lineRule="auto"/>
        <w:ind w:firstLine="864" w:firstLineChars="200"/>
        <w:rPr>
          <w:sz w:val="44"/>
          <w:szCs w:val="44"/>
        </w:rPr>
      </w:pPr>
    </w:p>
    <w:p>
      <w:pPr>
        <w:pStyle w:val="33"/>
      </w:pPr>
    </w:p>
    <w:p/>
    <w:p>
      <w:pPr>
        <w:spacing w:line="240" w:lineRule="auto"/>
        <w:jc w:val="center"/>
        <w:rPr>
          <w:sz w:val="32"/>
          <w:szCs w:val="32"/>
        </w:rPr>
      </w:pPr>
    </w:p>
    <w:p>
      <w:pPr>
        <w:pStyle w:val="11"/>
        <w:spacing w:after="0"/>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rPr>
        <w:sectPr>
          <w:headerReference r:id="rId3" w:type="first"/>
          <w:footerReference r:id="rId6" w:type="first"/>
          <w:footerReference r:id="rId4" w:type="default"/>
          <w:footerReference r:id="rId5" w:type="even"/>
          <w:pgSz w:w="11906" w:h="16838"/>
          <w:pgMar w:top="2098" w:right="1474" w:bottom="1984" w:left="1587" w:header="851" w:footer="1701" w:gutter="0"/>
          <w:pgNumType w:fmt="decimal"/>
          <w:cols w:space="0" w:num="1"/>
          <w:rtlGutter w:val="0"/>
          <w:docGrid w:type="linesAndChars" w:linePitch="289" w:charSpace="-1839"/>
        </w:sectPr>
      </w:pPr>
      <w:r>
        <w:rPr>
          <w:rFonts w:hint="eastAsia" w:asciiTheme="minorEastAsia" w:hAnsiTheme="minorEastAsia" w:eastAsiaTheme="minorEastAsia" w:cstheme="minorEastAsia"/>
          <w:sz w:val="44"/>
          <w:szCs w:val="44"/>
        </w:rPr>
        <w:t>2023年</w:t>
      </w:r>
      <w:r>
        <w:rPr>
          <w:rFonts w:hint="eastAsia" w:asciiTheme="minorEastAsia" w:hAnsiTheme="minorEastAsia" w:eastAsiaTheme="minorEastAsia" w:cstheme="minorEastAsia"/>
          <w:sz w:val="44"/>
          <w:szCs w:val="44"/>
          <w:lang w:val="en-US" w:eastAsia="zh-CN"/>
        </w:rPr>
        <w:t>11</w:t>
      </w:r>
      <w:r>
        <w:rPr>
          <w:rFonts w:hint="eastAsia" w:asciiTheme="minorEastAsia" w:hAnsiTheme="minorEastAsia" w:eastAsiaTheme="minorEastAsia" w:cstheme="minorEastAsia"/>
          <w:sz w:val="44"/>
          <w:szCs w:val="44"/>
        </w:rPr>
        <w:t xml:space="preserve">月 </w:t>
      </w:r>
      <w:bookmarkStart w:id="0" w:name="_Toc109212584"/>
      <w:bookmarkStart w:id="1" w:name="_Toc44141193"/>
      <w:bookmarkStart w:id="2" w:name="_Toc16393651"/>
      <w:bookmarkStart w:id="3" w:name="_Toc17186211"/>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eastAsia="zh-Hans"/>
        </w:rPr>
      </w:pPr>
      <w:r>
        <w:rPr>
          <w:rFonts w:hint="eastAsia" w:ascii="方正小标宋简体" w:hAnsi="方正小标宋简体" w:eastAsia="方正小标宋简体" w:cs="方正小标宋简体"/>
          <w:b w:val="0"/>
          <w:bCs w:val="0"/>
          <w:sz w:val="44"/>
          <w:szCs w:val="44"/>
        </w:rPr>
        <w:t xml:space="preserve">第一章  </w:t>
      </w:r>
      <w:r>
        <w:rPr>
          <w:rFonts w:hint="eastAsia" w:ascii="方正小标宋简体" w:hAnsi="方正小标宋简体" w:eastAsia="方正小标宋简体" w:cs="方正小标宋简体"/>
          <w:b w:val="0"/>
          <w:bCs w:val="0"/>
          <w:sz w:val="44"/>
          <w:szCs w:val="44"/>
          <w:lang w:eastAsia="zh-CN"/>
        </w:rPr>
        <w:t>比选公告</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bookmarkStart w:id="4" w:name="_Toc109212565"/>
      <w:bookmarkStart w:id="5" w:name="_Toc500410129"/>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四川省多式联运投资发展有限公司</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rPr>
        <w:t>人”）拟通过</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rPr>
        <w:t>方式选聘</w:t>
      </w:r>
      <w:r>
        <w:rPr>
          <w:rFonts w:hint="eastAsia" w:ascii="仿宋_GB2312" w:hAnsi="仿宋_GB2312" w:eastAsia="仿宋_GB2312" w:cs="仿宋_GB2312"/>
          <w:sz w:val="32"/>
          <w:szCs w:val="32"/>
          <w:lang w:val="en-US" w:eastAsia="zh-CN"/>
        </w:rPr>
        <w:t>新津高速公路智慧物流港规划方案编制项目</w:t>
      </w:r>
      <w:r>
        <w:rPr>
          <w:rFonts w:hint="eastAsia" w:ascii="仿宋_GB2312" w:hAnsi="仿宋_GB2312" w:eastAsia="仿宋_GB2312" w:cs="仿宋_GB2312"/>
          <w:bCs/>
          <w:sz w:val="32"/>
          <w:szCs w:val="32"/>
          <w:shd w:val="clear" w:color="auto" w:fill="FFFFFF"/>
        </w:rPr>
        <w:t>专业咨询机构</w:t>
      </w:r>
      <w:r>
        <w:rPr>
          <w:rFonts w:hint="eastAsia" w:ascii="仿宋_GB2312" w:hAnsi="仿宋_GB2312" w:eastAsia="仿宋_GB2312" w:cs="仿宋_GB2312"/>
          <w:sz w:val="32"/>
          <w:szCs w:val="32"/>
        </w:rPr>
        <w:t>，相关情况如下：</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黑体" w:hAnsi="黑体" w:eastAsia="黑体" w:cs="黑体"/>
          <w:kern w:val="0"/>
          <w:sz w:val="32"/>
          <w:szCs w:val="32"/>
          <w:lang w:eastAsia="zh-Hans"/>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Hans"/>
        </w:rPr>
        <w:t>项目介绍</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eastAsia="zh-Hans"/>
        </w:rPr>
        <w:t>项目名称：</w:t>
      </w:r>
      <w:r>
        <w:rPr>
          <w:rFonts w:hint="eastAsia" w:ascii="仿宋_GB2312" w:hAnsi="仿宋_GB2312" w:eastAsia="仿宋_GB2312" w:cs="仿宋_GB2312"/>
          <w:sz w:val="32"/>
          <w:szCs w:val="32"/>
          <w:lang w:val="en-US" w:eastAsia="zh-CN"/>
        </w:rPr>
        <w:t>新津高速公路智慧物流港规划方案编制项目</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eastAsia="zh-Hans"/>
        </w:rPr>
        <w:t>服务内容</w:t>
      </w:r>
      <w:r>
        <w:rPr>
          <w:rFonts w:hint="eastAsia" w:ascii="仿宋_GB2312" w:hAnsi="仿宋_GB2312" w:eastAsia="仿宋_GB2312" w:cs="仿宋_GB2312"/>
          <w:sz w:val="32"/>
          <w:szCs w:val="32"/>
        </w:rPr>
        <w:t>包括但不限于：</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Hans"/>
        </w:rPr>
        <w:t>根据</w:t>
      </w:r>
      <w:r>
        <w:rPr>
          <w:rFonts w:hint="eastAsia" w:ascii="仿宋_GB2312" w:hAnsi="仿宋_GB2312" w:eastAsia="仿宋_GB2312" w:cs="仿宋_GB2312"/>
          <w:sz w:val="32"/>
          <w:szCs w:val="32"/>
          <w:lang w:eastAsia="zh-CN"/>
        </w:rPr>
        <w:t>比选人</w:t>
      </w:r>
      <w:r>
        <w:rPr>
          <w:rFonts w:hint="eastAsia" w:ascii="仿宋_GB2312" w:hAnsi="仿宋_GB2312" w:eastAsia="仿宋_GB2312" w:cs="仿宋_GB2312"/>
          <w:sz w:val="32"/>
          <w:szCs w:val="32"/>
          <w:lang w:eastAsia="zh-Hans"/>
        </w:rPr>
        <w:t>需求</w:t>
      </w:r>
      <w:r>
        <w:rPr>
          <w:rFonts w:hint="eastAsia" w:ascii="Times New Roman" w:hAnsi="Times New Roman" w:eastAsia="仿宋_GB2312" w:cs="仿宋_GB2312"/>
          <w:color w:val="000000"/>
          <w:kern w:val="0"/>
          <w:sz w:val="32"/>
          <w:szCs w:val="32"/>
          <w:u w:val="none" w:color="000000"/>
          <w:lang w:val="en-US" w:eastAsia="zh-CN" w:bidi="ar-SA"/>
        </w:rPr>
        <w:t>开展市场调研，调研的企业和物流园区不低于50家，了解企业需求及合作意向，掌握第一手信息，确保所有材料有数据支撑</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Hans"/>
        </w:rPr>
        <w:t>按照</w:t>
      </w:r>
      <w:r>
        <w:rPr>
          <w:rFonts w:hint="eastAsia" w:ascii="仿宋_GB2312" w:hAnsi="仿宋_GB2312" w:eastAsia="仿宋_GB2312" w:cs="仿宋_GB2312"/>
          <w:sz w:val="32"/>
          <w:szCs w:val="32"/>
          <w:lang w:eastAsia="zh-CN"/>
        </w:rPr>
        <w:t>比选人</w:t>
      </w:r>
      <w:r>
        <w:rPr>
          <w:rFonts w:hint="eastAsia" w:ascii="仿宋_GB2312" w:hAnsi="仿宋_GB2312" w:eastAsia="仿宋_GB2312" w:cs="仿宋_GB2312"/>
          <w:sz w:val="32"/>
          <w:szCs w:val="32"/>
          <w:lang w:eastAsia="zh-Hans"/>
        </w:rPr>
        <w:t>要求</w:t>
      </w:r>
      <w:r>
        <w:rPr>
          <w:rFonts w:hint="eastAsia" w:ascii="Times New Roman" w:hAnsi="Times New Roman" w:eastAsia="仿宋_GB2312" w:cs="仿宋_GB2312"/>
          <w:color w:val="000000"/>
          <w:kern w:val="0"/>
          <w:sz w:val="32"/>
          <w:szCs w:val="32"/>
          <w:u w:val="none" w:color="000000"/>
          <w:lang w:val="en-US" w:eastAsia="zh-CN" w:bidi="ar-SA"/>
        </w:rPr>
        <w:t>编制项目规划</w:t>
      </w:r>
      <w:r>
        <w:rPr>
          <w:rFonts w:hint="eastAsia" w:ascii="仿宋_GB2312" w:hAnsi="仿宋_GB2312" w:eastAsia="仿宋_GB2312" w:cs="仿宋_GB2312"/>
          <w:sz w:val="32"/>
          <w:szCs w:val="32"/>
          <w:lang w:eastAsia="zh-Hans"/>
        </w:rPr>
        <w:t>方案</w:t>
      </w:r>
      <w:r>
        <w:rPr>
          <w:rFonts w:hint="eastAsia" w:ascii="仿宋_GB2312" w:hAnsi="仿宋_GB2312" w:eastAsia="仿宋_GB2312" w:cs="仿宋_GB2312"/>
          <w:sz w:val="32"/>
          <w:szCs w:val="32"/>
        </w:rPr>
        <w:t>。项目规划方案内容包括但不限于以下内容：</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政策环境分析。结合成渝地区双城经济圈建设、成德眉资同城化、新津区建圈强链等发展战略，对项目宏观环境进行分析。</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发展条件分析。从交通区位、产业基础、新津物流业发展等方面分析项目发展条件。</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市场及业态分析。结合市场调研结果，分析项目需求，梳理项目业态模式，并进行竞合分析。</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项目定位。根据新津区城市定位，结合产业空间布局，提出本项目功能定位。</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经验借鉴。总结类似物流园区发展模式、功能定位等案例经验。</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功能布局。提出物流中心的主要功能，并结合项目实际布局功能区，并附图鸟瞰图、总平图、功能分区图等。</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财务评价。从财务角度分析项目投资可行性。</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比选人</w:t>
      </w:r>
      <w:r>
        <w:rPr>
          <w:rFonts w:hint="eastAsia" w:ascii="仿宋_GB2312" w:hAnsi="仿宋_GB2312" w:eastAsia="仿宋_GB2312" w:cs="仿宋_GB2312"/>
          <w:sz w:val="32"/>
          <w:szCs w:val="32"/>
        </w:rPr>
        <w:t>要求，推进</w:t>
      </w:r>
      <w:r>
        <w:rPr>
          <w:rFonts w:hint="eastAsia" w:ascii="仿宋_GB2312" w:hAnsi="仿宋_GB2312" w:eastAsia="仿宋_GB2312" w:cs="仿宋_GB2312"/>
          <w:sz w:val="32"/>
          <w:szCs w:val="32"/>
          <w:lang w:eastAsia="zh-Hans"/>
        </w:rPr>
        <w:t>与本次</w:t>
      </w:r>
      <w:r>
        <w:rPr>
          <w:rFonts w:hint="eastAsia" w:ascii="仿宋_GB2312" w:hAnsi="仿宋_GB2312" w:eastAsia="仿宋_GB2312" w:cs="仿宋_GB2312"/>
          <w:sz w:val="32"/>
          <w:szCs w:val="32"/>
          <w:lang w:val="en-US" w:eastAsia="zh-CN"/>
        </w:rPr>
        <w:t>项目规划方案编制</w:t>
      </w:r>
      <w:r>
        <w:rPr>
          <w:rFonts w:hint="eastAsia" w:ascii="仿宋_GB2312" w:hAnsi="仿宋_GB2312" w:eastAsia="仿宋_GB2312" w:cs="仿宋_GB2312"/>
          <w:sz w:val="32"/>
          <w:szCs w:val="32"/>
        </w:rPr>
        <w:t>有关的工作。</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黑体" w:hAnsi="黑体" w:eastAsia="黑体" w:cs="黑体"/>
          <w:kern w:val="0"/>
          <w:sz w:val="32"/>
          <w:szCs w:val="32"/>
          <w:lang w:eastAsia="zh-Hans"/>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Hans"/>
        </w:rPr>
        <w:t>项目限价</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Hans"/>
        </w:rPr>
        <w:t>人民币</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（含税）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超过限价的</w:t>
      </w:r>
      <w:r>
        <w:rPr>
          <w:rFonts w:hint="eastAsia" w:ascii="仿宋_GB2312" w:hAnsi="仿宋_GB2312" w:eastAsia="仿宋_GB2312" w:cs="仿宋_GB2312"/>
          <w:kern w:val="0"/>
          <w:sz w:val="32"/>
          <w:szCs w:val="32"/>
          <w:lang w:eastAsia="zh-CN"/>
        </w:rPr>
        <w:t>投标</w:t>
      </w:r>
      <w:r>
        <w:rPr>
          <w:rFonts w:hint="eastAsia" w:ascii="仿宋_GB2312" w:hAnsi="仿宋_GB2312" w:eastAsia="仿宋_GB2312" w:cs="仿宋_GB2312"/>
          <w:kern w:val="0"/>
          <w:sz w:val="32"/>
          <w:szCs w:val="32"/>
          <w:lang w:eastAsia="zh-Hans"/>
        </w:rPr>
        <w:t>无效。</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黑体" w:hAnsi="黑体" w:eastAsia="黑体" w:cs="黑体"/>
          <w:kern w:val="0"/>
          <w:sz w:val="32"/>
          <w:szCs w:val="32"/>
        </w:rPr>
      </w:pPr>
      <w:r>
        <w:rPr>
          <w:rFonts w:hint="eastAsia" w:ascii="黑体" w:hAnsi="黑体" w:eastAsia="黑体" w:cs="黑体"/>
          <w:kern w:val="0"/>
          <w:sz w:val="32"/>
          <w:szCs w:val="32"/>
          <w:lang w:eastAsia="zh-Hans"/>
        </w:rPr>
        <w:t>三、</w:t>
      </w:r>
      <w:r>
        <w:rPr>
          <w:rFonts w:hint="eastAsia" w:ascii="黑体" w:hAnsi="黑体" w:eastAsia="黑体" w:cs="黑体"/>
          <w:kern w:val="0"/>
          <w:sz w:val="32"/>
          <w:szCs w:val="32"/>
          <w:lang w:eastAsia="zh-CN"/>
        </w:rPr>
        <w:t>比选</w:t>
      </w:r>
      <w:r>
        <w:rPr>
          <w:rFonts w:hint="eastAsia" w:ascii="黑体" w:hAnsi="黑体" w:eastAsia="黑体" w:cs="黑体"/>
          <w:kern w:val="0"/>
          <w:sz w:val="32"/>
          <w:szCs w:val="32"/>
        </w:rPr>
        <w:t>申请人的资格要求</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（一）比选申请</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须为中华人民共和国境内</w:t>
      </w:r>
      <w:r>
        <w:rPr>
          <w:rFonts w:hint="eastAsia" w:ascii="仿宋_GB2312" w:hAnsi="仿宋_GB2312" w:eastAsia="仿宋_GB2312" w:cs="仿宋_GB2312"/>
          <w:color w:val="000000"/>
          <w:kern w:val="0"/>
          <w:sz w:val="32"/>
          <w:szCs w:val="32"/>
          <w:lang w:val="en-US" w:eastAsia="zh-CN" w:bidi="ar-SA"/>
        </w:rPr>
        <w:t>依法注册的法人机构</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val="en-US" w:eastAsia="zh-CN" w:bidi="ar-SA"/>
        </w:rPr>
        <w:t>成立三年（含三年）以上，持有有效营业执照，有规划设计、企业管理咨询、技术咨询、物流规划等资质及相关工作经验，并符合《四川省国资委及出资企业中介机构选聘管理试行办法》（川国资委办〔2019〕9号）第六条和第七条的要求</w:t>
      </w:r>
      <w:r>
        <w:rPr>
          <w:rFonts w:hint="eastAsia" w:ascii="仿宋_GB2312" w:hAnsi="仿宋_GB2312" w:eastAsia="仿宋_GB2312" w:cs="仿宋_GB2312"/>
          <w:sz w:val="32"/>
          <w:szCs w:val="32"/>
        </w:rPr>
        <w:t>。</w:t>
      </w:r>
    </w:p>
    <w:p>
      <w:pPr>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（二）比选申请</w:t>
      </w:r>
      <w:r>
        <w:rPr>
          <w:rFonts w:hint="eastAsia" w:ascii="仿宋_GB2312" w:hAnsi="仿宋_GB2312" w:eastAsia="仿宋_GB2312" w:cs="仿宋_GB2312"/>
          <w:sz w:val="32"/>
          <w:szCs w:val="32"/>
        </w:rPr>
        <w:t>人需具有良好的银行资信和商业信誉，机构及人员执业稳定；近三年内未因违法、违规、违纪行为受过处罚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须提供承诺书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val="en-US" w:eastAsia="zh-CN" w:bidi="ar-SA"/>
        </w:rPr>
        <w:t>参加本次选聘活动前三年内（2019年1月1日至今）在经营活动中没有重大违法记录，且在国家企业信用信息公示系统（http//www.gsxt.gov.cn）中未被列入严重违法失信企业名单；</w:t>
      </w:r>
    </w:p>
    <w:p>
      <w:pPr>
        <w:keepNext w:val="0"/>
        <w:keepLines w:val="0"/>
        <w:pageBreakBefore w:val="0"/>
        <w:widowControl/>
        <w:kinsoku/>
        <w:wordWrap/>
        <w:overflowPunct/>
        <w:topLinePunct w:val="0"/>
        <w:autoSpaceDE/>
        <w:autoSpaceDN/>
        <w:bidi w:val="0"/>
        <w:adjustRightInd/>
        <w:snapToGrid/>
        <w:spacing w:line="540" w:lineRule="exact"/>
        <w:ind w:firstLine="622"/>
        <w:jc w:val="both"/>
        <w:textAlignment w:val="auto"/>
        <w:rPr>
          <w:rFonts w:hint="eastAsia" w:ascii="仿宋_GB2312" w:hAnsi="宋体" w:eastAsia="仿宋_GB2312" w:cs="宋体"/>
          <w:bCs/>
          <w:kern w:val="0"/>
          <w:sz w:val="32"/>
          <w:szCs w:val="32"/>
          <w:highlight w:val="none"/>
          <w:lang w:val="en-US" w:eastAsia="zh-CN"/>
        </w:rPr>
      </w:pPr>
      <w:r>
        <w:rPr>
          <w:rFonts w:hint="eastAsia" w:ascii="仿宋_GB2312" w:hAnsi="仿宋_GB2312" w:eastAsia="仿宋_GB2312" w:cs="仿宋_GB2312"/>
          <w:sz w:val="32"/>
          <w:szCs w:val="32"/>
          <w:highlight w:val="none"/>
          <w:lang w:eastAsia="zh-CN"/>
        </w:rPr>
        <w:t>（三）比选申请</w:t>
      </w:r>
      <w:r>
        <w:rPr>
          <w:rFonts w:hint="eastAsia" w:ascii="仿宋_GB2312" w:hAnsi="宋体" w:eastAsia="仿宋_GB2312" w:cs="宋体"/>
          <w:bCs/>
          <w:kern w:val="0"/>
          <w:sz w:val="32"/>
          <w:szCs w:val="32"/>
          <w:highlight w:val="none"/>
          <w:lang w:val="en-US" w:eastAsia="zh-CN"/>
        </w:rPr>
        <w:t>人须具备至少一个</w:t>
      </w:r>
      <w:r>
        <w:rPr>
          <w:rFonts w:hint="eastAsia" w:ascii="仿宋_GB2312" w:hAnsi="仿宋_GB2312" w:eastAsia="仿宋_GB2312" w:cs="仿宋_GB2312"/>
          <w:color w:val="000000"/>
          <w:kern w:val="0"/>
          <w:sz w:val="32"/>
          <w:szCs w:val="32"/>
          <w:lang w:val="en-US" w:eastAsia="zh-CN" w:bidi="ar-SA"/>
        </w:rPr>
        <w:t>类似业绩（交通物流领域规划方案编制等类似业绩）</w:t>
      </w:r>
      <w:r>
        <w:rPr>
          <w:rFonts w:hint="eastAsia" w:ascii="仿宋_GB2312" w:hAnsi="宋体" w:eastAsia="仿宋_GB2312" w:cs="宋体"/>
          <w:bCs/>
          <w:kern w:val="0"/>
          <w:sz w:val="32"/>
          <w:szCs w:val="32"/>
          <w:highlight w:val="none"/>
          <w:lang w:val="en-US" w:eastAsia="zh-CN"/>
        </w:rPr>
        <w:t>（</w:t>
      </w:r>
      <w:r>
        <w:rPr>
          <w:rFonts w:hint="eastAsia" w:ascii="仿宋_GB2312" w:hAnsi="宋体" w:eastAsia="仿宋_GB2312" w:cs="宋体"/>
          <w:bCs/>
          <w:kern w:val="0"/>
          <w:sz w:val="32"/>
          <w:szCs w:val="32"/>
          <w:highlight w:val="none"/>
          <w:lang w:val="en-US" w:eastAsia="zh-Hans"/>
        </w:rPr>
        <w:t>须提供证明文件</w:t>
      </w:r>
      <w:r>
        <w:rPr>
          <w:rFonts w:hint="eastAsia" w:ascii="仿宋_GB2312" w:hAnsi="宋体" w:eastAsia="仿宋_GB2312" w:cs="宋体"/>
          <w:bCs/>
          <w:kern w:val="0"/>
          <w:sz w:val="32"/>
          <w:szCs w:val="32"/>
          <w:highlight w:val="none"/>
          <w:lang w:val="en-US" w:eastAsia="zh-CN"/>
        </w:rPr>
        <w:t>）；</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（四）比选申请</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Hans"/>
        </w:rPr>
        <w:t>派出不少于3名</w:t>
      </w:r>
      <w:r>
        <w:rPr>
          <w:rFonts w:hint="eastAsia" w:ascii="仿宋_GB2312" w:hAnsi="仿宋_GB2312" w:eastAsia="仿宋_GB2312" w:cs="仿宋_GB2312"/>
          <w:color w:val="000000"/>
          <w:kern w:val="0"/>
          <w:sz w:val="32"/>
          <w:szCs w:val="32"/>
          <w:lang w:val="en-US" w:eastAsia="zh-CN" w:bidi="ar-SA"/>
        </w:rPr>
        <w:t>熟悉空、铁、公、水等物流板块，并具有物流、多式联运领域相关工作经验的专职人员</w:t>
      </w:r>
      <w:r>
        <w:rPr>
          <w:rFonts w:hint="eastAsia" w:ascii="仿宋_GB2312" w:hAnsi="仿宋_GB2312" w:eastAsia="仿宋_GB2312" w:cs="仿宋_GB2312"/>
          <w:sz w:val="32"/>
          <w:szCs w:val="32"/>
          <w:lang w:eastAsia="zh-Hans"/>
        </w:rPr>
        <w:t>组成的团队承担本</w:t>
      </w:r>
      <w:r>
        <w:rPr>
          <w:rFonts w:hint="eastAsia" w:ascii="仿宋_GB2312" w:hAnsi="仿宋_GB2312" w:eastAsia="仿宋_GB2312" w:cs="仿宋_GB2312"/>
          <w:sz w:val="32"/>
          <w:szCs w:val="32"/>
          <w:lang w:val="en-US" w:eastAsia="zh-CN"/>
        </w:rPr>
        <w:t>次项目规划方案编制</w:t>
      </w:r>
      <w:r>
        <w:rPr>
          <w:rFonts w:hint="eastAsia" w:ascii="仿宋_GB2312" w:hAnsi="仿宋_GB2312" w:eastAsia="仿宋_GB2312" w:cs="仿宋_GB2312"/>
          <w:sz w:val="32"/>
          <w:szCs w:val="32"/>
          <w:lang w:eastAsia="zh-Hans"/>
        </w:rPr>
        <w:t>工作。</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rPr>
        <w:t>不接受联合体</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i w:val="0"/>
          <w:iCs w:val="0"/>
          <w:caps w:val="0"/>
          <w:color w:val="auto"/>
          <w:spacing w:val="0"/>
          <w:sz w:val="32"/>
          <w:szCs w:val="32"/>
          <w:highlight w:val="none"/>
        </w:rPr>
        <w:t>不接受单位负责人为同一人或者存在直接控股、管理关系的不同投标人同时参与本项目的投标</w:t>
      </w:r>
      <w:r>
        <w:rPr>
          <w:rFonts w:hint="eastAsia" w:ascii="仿宋_GB2312" w:hAnsi="仿宋_GB2312" w:eastAsia="仿宋_GB2312" w:cs="仿宋_GB2312"/>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（六）比选申请人不得</w:t>
      </w:r>
      <w:r>
        <w:rPr>
          <w:rFonts w:hint="eastAsia" w:ascii="仿宋_GB2312" w:hAnsi="仿宋_GB2312" w:eastAsia="仿宋_GB2312" w:cs="仿宋_GB2312"/>
          <w:sz w:val="32"/>
          <w:szCs w:val="32"/>
        </w:rPr>
        <w:t>转包或分包给其他机构或个人实施。</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Hans"/>
        </w:rPr>
      </w:pPr>
      <w:r>
        <w:rPr>
          <w:rFonts w:hint="eastAsia" w:ascii="黑体" w:hAnsi="黑体" w:eastAsia="黑体" w:cs="黑体"/>
          <w:kern w:val="0"/>
          <w:sz w:val="32"/>
          <w:szCs w:val="32"/>
          <w:lang w:eastAsia="zh-Hans"/>
        </w:rPr>
        <w:t>四、</w:t>
      </w:r>
      <w:bookmarkStart w:id="6" w:name="_Hlk127369868"/>
      <w:r>
        <w:rPr>
          <w:rFonts w:hint="eastAsia" w:ascii="黑体" w:hAnsi="黑体" w:eastAsia="黑体" w:cs="黑体"/>
          <w:kern w:val="0"/>
          <w:sz w:val="32"/>
          <w:szCs w:val="32"/>
          <w:lang w:val="en-US" w:eastAsia="zh-CN"/>
        </w:rPr>
        <w:t>比选</w:t>
      </w:r>
      <w:r>
        <w:rPr>
          <w:rFonts w:hint="eastAsia" w:ascii="黑体" w:hAnsi="黑体" w:eastAsia="黑体" w:cs="黑体"/>
          <w:kern w:val="0"/>
          <w:sz w:val="32"/>
          <w:szCs w:val="32"/>
          <w:lang w:eastAsia="zh-Hans"/>
        </w:rPr>
        <w:t>文件获取方式、时间、地点：</w:t>
      </w:r>
      <w:r>
        <w:rPr>
          <w:rFonts w:hint="eastAsia" w:ascii="仿宋_GB2312" w:hAnsi="仿宋_GB2312" w:eastAsia="仿宋_GB2312" w:cs="仿宋_GB2312"/>
          <w:sz w:val="32"/>
          <w:szCs w:val="32"/>
          <w:lang w:eastAsia="zh-Hans"/>
        </w:rPr>
        <w:tab/>
      </w:r>
    </w:p>
    <w:p>
      <w:pPr>
        <w:spacing w:before="0" w:line="560" w:lineRule="exact"/>
        <w:ind w:left="0" w:right="0" w:firstLine="624"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val="en-US" w:eastAsia="zh-CN"/>
        </w:rPr>
        <w:t>1.本次公开必选文件获取为网络</w:t>
      </w:r>
      <w:r>
        <w:rPr>
          <w:rFonts w:hint="eastAsia" w:ascii="仿宋_GB2312" w:hAnsi="仿宋_GB2312" w:eastAsia="仿宋_GB2312" w:cs="仿宋_GB2312"/>
          <w:sz w:val="32"/>
          <w:szCs w:val="32"/>
          <w:lang w:eastAsia="zh-Hans"/>
        </w:rPr>
        <w:t>获取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比选申请人应在比选公告期内在公司网站（http://www.scsdsly.com/）上自行下载比选文件等。</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比选文件获</w:t>
      </w:r>
      <w:r>
        <w:rPr>
          <w:rFonts w:hint="eastAsia" w:ascii="仿宋_GB2312" w:hAnsi="仿宋_GB2312" w:eastAsia="仿宋_GB2312" w:cs="仿宋_GB2312"/>
          <w:sz w:val="32"/>
          <w:szCs w:val="32"/>
          <w:shd w:val="clear" w:color="auto" w:fill="FFFFFF"/>
          <w:lang w:val="en-US" w:eastAsia="zh-CN"/>
        </w:rPr>
        <w:t>取</w:t>
      </w:r>
      <w:r>
        <w:rPr>
          <w:rFonts w:hint="eastAsia" w:ascii="仿宋_GB2312" w:hAnsi="仿宋_GB2312" w:eastAsia="仿宋_GB2312" w:cs="仿宋_GB2312"/>
          <w:sz w:val="32"/>
          <w:szCs w:val="32"/>
          <w:shd w:val="clear" w:color="auto" w:fill="FFFFFF"/>
        </w:rPr>
        <w:t>时间</w:t>
      </w:r>
      <w:r>
        <w:rPr>
          <w:rFonts w:hint="eastAsia" w:ascii="仿宋_GB2312" w:hAnsi="仿宋_GB2312" w:eastAsia="仿宋_GB2312" w:cs="仿宋_GB2312"/>
          <w:sz w:val="32"/>
          <w:szCs w:val="32"/>
          <w:lang w:eastAsia="zh-Hans"/>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u w:val="single"/>
          <w:lang w:val="en-US" w:eastAsia="zh-CN"/>
        </w:rPr>
        <w:t>21</w:t>
      </w:r>
      <w:r>
        <w:rPr>
          <w:rFonts w:hint="eastAsia" w:ascii="仿宋_GB2312" w:hAnsi="仿宋_GB2312" w:eastAsia="仿宋_GB2312" w:cs="仿宋_GB2312"/>
          <w:sz w:val="32"/>
          <w:szCs w:val="32"/>
          <w:lang w:eastAsia="zh-Hans"/>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shd w:val="clear" w:color="auto" w:fill="FFFFFF"/>
        </w:rPr>
        <w:t>午</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lang w:eastAsia="zh-Hans"/>
        </w:rPr>
        <w:t>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u w:val="single"/>
          <w:lang w:val="en-US" w:eastAsia="zh-CN"/>
        </w:rPr>
        <w:t>25</w:t>
      </w:r>
      <w:r>
        <w:rPr>
          <w:rFonts w:hint="eastAsia" w:ascii="仿宋_GB2312" w:hAnsi="仿宋_GB2312" w:eastAsia="仿宋_GB2312" w:cs="仿宋_GB2312"/>
          <w:sz w:val="32"/>
          <w:szCs w:val="32"/>
          <w:lang w:eastAsia="zh-Hans"/>
        </w:rPr>
        <w:t>日</w:t>
      </w:r>
      <w:r>
        <w:rPr>
          <w:rFonts w:hint="eastAsia" w:ascii="仿宋_GB2312" w:hAnsi="仿宋_GB2312" w:eastAsia="仿宋_GB2312" w:cs="仿宋_GB2312"/>
          <w:sz w:val="32"/>
          <w:szCs w:val="32"/>
          <w:lang w:val="en-US" w:eastAsia="zh-CN"/>
        </w:rPr>
        <w:t>下午</w:t>
      </w:r>
      <w:r>
        <w:rPr>
          <w:rFonts w:hint="eastAsia" w:ascii="仿宋_GB2312" w:hAnsi="仿宋_GB2312" w:eastAsia="仿宋_GB2312" w:cs="仿宋_GB2312"/>
          <w:sz w:val="32"/>
          <w:szCs w:val="32"/>
          <w:lang w:eastAsia="zh-Hans"/>
        </w:rPr>
        <w:t>17:</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43" w:line="354" w:lineRule="auto"/>
        <w:ind w:left="3" w:firstLine="479" w:firstLineChars="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比选人不提供比选文件获取的其他方式。</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响应</w:t>
      </w:r>
      <w:bookmarkEnd w:id="6"/>
      <w:r>
        <w:rPr>
          <w:rFonts w:hint="eastAsia" w:ascii="黑体" w:hAnsi="黑体" w:eastAsia="黑体" w:cs="黑体"/>
          <w:kern w:val="0"/>
          <w:sz w:val="32"/>
          <w:szCs w:val="32"/>
        </w:rPr>
        <w:t>文件递交截止时间及地点</w:t>
      </w:r>
    </w:p>
    <w:p>
      <w:pPr>
        <w:tabs>
          <w:tab w:val="left" w:pos="3460"/>
        </w:tabs>
        <w:spacing w:line="360" w:lineRule="auto"/>
        <w:ind w:firstLine="624"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bookmarkStart w:id="46" w:name="_GoBack"/>
      <w:bookmarkEnd w:id="46"/>
      <w:r>
        <w:rPr>
          <w:rFonts w:hint="eastAsia" w:ascii="仿宋_GB2312" w:hAnsi="仿宋_GB2312" w:eastAsia="仿宋_GB2312" w:cs="仿宋_GB2312"/>
          <w:color w:val="auto"/>
          <w:sz w:val="32"/>
          <w:szCs w:val="32"/>
          <w:lang w:eastAsia="zh-CN"/>
        </w:rPr>
        <w:t>）比选申请文件递交的截止时间为202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lang w:eastAsia="zh-CN"/>
        </w:rPr>
        <w:t>上午10:00。逾期递交的报价文件，我司将不予受理。</w:t>
      </w:r>
    </w:p>
    <w:p>
      <w:pPr>
        <w:tabs>
          <w:tab w:val="left" w:pos="3460"/>
        </w:tabs>
        <w:spacing w:line="360" w:lineRule="auto"/>
        <w:ind w:firstLine="624" w:firstLineChars="200"/>
        <w:jc w:val="both"/>
        <w:rPr>
          <w:rFonts w:hint="eastAsia" w:eastAsia="仿宋_GB2312" w:cs="宋体"/>
          <w:color w:val="auto"/>
          <w:sz w:val="32"/>
          <w:szCs w:val="32"/>
          <w:lang w:eastAsia="zh-CN"/>
        </w:rPr>
      </w:pPr>
      <w:r>
        <w:rPr>
          <w:rFonts w:hint="eastAsia" w:ascii="仿宋_GB2312" w:hAnsi="仿宋_GB2312" w:eastAsia="仿宋_GB2312" w:cs="仿宋_GB2312"/>
          <w:color w:val="auto"/>
          <w:sz w:val="32"/>
          <w:szCs w:val="32"/>
          <w:lang w:eastAsia="zh-CN"/>
        </w:rPr>
        <w:t>（二）比选申请人必须按要求将密封完好的比选</w:t>
      </w:r>
      <w:r>
        <w:rPr>
          <w:rFonts w:hint="eastAsia" w:eastAsia="仿宋_GB2312" w:cs="宋体"/>
          <w:color w:val="auto"/>
          <w:sz w:val="32"/>
          <w:szCs w:val="32"/>
          <w:lang w:eastAsia="zh-CN"/>
        </w:rPr>
        <w:t>申请文件以面交方式递交至比选人指定地点：四川省成都市武侯区二环路西一段90号四川高速大厦</w:t>
      </w:r>
      <w:r>
        <w:rPr>
          <w:rFonts w:hint="eastAsia" w:eastAsia="仿宋_GB2312" w:cs="宋体"/>
          <w:color w:val="auto"/>
          <w:sz w:val="32"/>
          <w:szCs w:val="32"/>
          <w:lang w:val="en-US" w:eastAsia="zh-CN"/>
        </w:rPr>
        <w:t>6</w:t>
      </w:r>
      <w:r>
        <w:rPr>
          <w:rFonts w:hint="eastAsia" w:eastAsia="仿宋_GB2312" w:cs="宋体"/>
          <w:color w:val="auto"/>
          <w:sz w:val="32"/>
          <w:szCs w:val="32"/>
          <w:lang w:eastAsia="zh-CN"/>
        </w:rPr>
        <w:t>楼</w:t>
      </w:r>
      <w:r>
        <w:rPr>
          <w:rFonts w:hint="eastAsia" w:ascii="仿宋_GB2312" w:hAnsi="仿宋_GB2312" w:eastAsia="仿宋_GB2312" w:cs="仿宋_GB2312"/>
          <w:sz w:val="32"/>
          <w:szCs w:val="32"/>
          <w:lang w:val="en-US" w:eastAsia="zh-CN"/>
        </w:rPr>
        <w:t>B0609会议室</w:t>
      </w:r>
      <w:r>
        <w:rPr>
          <w:rFonts w:hint="eastAsia" w:eastAsia="仿宋_GB2312" w:cs="宋体"/>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FF0000"/>
          <w:sz w:val="32"/>
          <w:szCs w:val="32"/>
          <w:lang w:eastAsia="zh-Hans"/>
        </w:rPr>
      </w:pPr>
      <w:r>
        <w:rPr>
          <w:rFonts w:hint="eastAsia" w:ascii="仿宋_GB2312" w:hAnsi="仿宋_GB2312" w:eastAsia="仿宋_GB2312" w:cs="仿宋_GB2312"/>
          <w:sz w:val="32"/>
          <w:szCs w:val="32"/>
          <w:lang w:eastAsia="zh-Hans"/>
        </w:rPr>
        <w:t>递交地点：成都市武侯区二环路西一段90号四川高速大厦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Hans"/>
        </w:rPr>
        <w:t>楼</w:t>
      </w:r>
      <w:r>
        <w:rPr>
          <w:rFonts w:hint="eastAsia" w:ascii="仿宋_GB2312" w:hAnsi="仿宋_GB2312" w:eastAsia="仿宋_GB2312" w:cs="仿宋_GB2312"/>
          <w:sz w:val="32"/>
          <w:szCs w:val="32"/>
          <w:lang w:val="en-US" w:eastAsia="zh-CN"/>
        </w:rPr>
        <w:t>B0609</w:t>
      </w:r>
      <w:r>
        <w:rPr>
          <w:rFonts w:hint="eastAsia" w:ascii="仿宋_GB2312" w:hAnsi="仿宋_GB2312" w:eastAsia="仿宋_GB2312" w:cs="仿宋_GB2312"/>
          <w:sz w:val="32"/>
          <w:szCs w:val="32"/>
          <w:lang w:eastAsia="zh-Hans"/>
        </w:rPr>
        <w:t>室。</w:t>
      </w:r>
    </w:p>
    <w:p>
      <w:pPr>
        <w:keepNext w:val="0"/>
        <w:keepLines w:val="0"/>
        <w:pageBreakBefore w:val="0"/>
        <w:kinsoku/>
        <w:overflowPunct/>
        <w:topLinePunct w:val="0"/>
        <w:autoSpaceDE/>
        <w:autoSpaceDN/>
        <w:bidi w:val="0"/>
        <w:adjustRightInd/>
        <w:snapToGrid/>
        <w:spacing w:line="560" w:lineRule="exact"/>
        <w:ind w:firstLine="404" w:firstLineChars="200"/>
        <w:textAlignment w:val="auto"/>
        <w:outlineLvl w:val="1"/>
        <w:rPr>
          <w:rFonts w:hint="eastAsia" w:ascii="黑体" w:hAnsi="黑体" w:eastAsia="黑体" w:cs="黑体"/>
          <w:sz w:val="32"/>
          <w:szCs w:val="32"/>
        </w:rPr>
      </w:pPr>
      <w:r>
        <w:rPr>
          <w:rFonts w:hint="eastAsia"/>
          <w:lang w:val="en-US" w:eastAsia="zh-CN"/>
        </w:rPr>
        <w:t xml:space="preserve">  </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、联系方式</w:t>
      </w:r>
      <w:r>
        <w:rPr>
          <w:rFonts w:hint="eastAsia" w:ascii="黑体" w:hAnsi="黑体" w:eastAsia="黑体" w:cs="黑体"/>
          <w:sz w:val="32"/>
          <w:szCs w:val="32"/>
        </w:rPr>
        <w:t xml:space="preserve">   </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lang w:val="en-US" w:eastAsia="zh-CN"/>
        </w:rPr>
        <w:t xml:space="preserve">比选人：四川省多式联运投资发展有限公司 </w:t>
      </w:r>
      <w:r>
        <w:rPr>
          <w:rFonts w:hint="eastAsia" w:ascii="黑体" w:hAnsi="黑体" w:eastAsia="黑体" w:cs="黑体"/>
          <w:sz w:val="32"/>
          <w:szCs w:val="32"/>
        </w:rPr>
        <w:t xml:space="preserve">        </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李</w:t>
      </w:r>
      <w:r>
        <w:rPr>
          <w:rFonts w:hint="eastAsia" w:ascii="仿宋_GB2312" w:hAnsi="仿宋_GB2312" w:eastAsia="仿宋_GB2312" w:cs="仿宋_GB2312"/>
          <w:sz w:val="32"/>
          <w:szCs w:val="32"/>
          <w:lang w:eastAsia="zh-CN"/>
        </w:rPr>
        <w:t>女士</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028-67191792</w:t>
      </w:r>
    </w:p>
    <w:p>
      <w:pPr>
        <w:keepNext w:val="0"/>
        <w:keepLines w:val="0"/>
        <w:pageBreakBefore w:val="0"/>
        <w:kinsoku/>
        <w:overflowPunct/>
        <w:topLinePunct w:val="0"/>
        <w:autoSpaceDE/>
        <w:autoSpaceDN/>
        <w:bidi w:val="0"/>
        <w:adjustRightInd/>
        <w:snapToGrid/>
        <w:spacing w:line="560" w:lineRule="exact"/>
        <w:ind w:right="48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日      </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bookmarkEnd w:id="0"/>
    <w:bookmarkEnd w:id="1"/>
    <w:bookmarkEnd w:id="2"/>
    <w:bookmarkEnd w:id="3"/>
    <w:bookmarkEnd w:id="4"/>
    <w:bookmarkEnd w:id="5"/>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第二章 </w:t>
      </w:r>
      <w:r>
        <w:rPr>
          <w:rFonts w:hint="eastAsia" w:ascii="方正小标宋简体" w:hAnsi="方正小标宋简体" w:eastAsia="方正小标宋简体" w:cs="方正小标宋简体"/>
          <w:b w:val="0"/>
          <w:bCs w:val="0"/>
          <w:sz w:val="44"/>
          <w:szCs w:val="44"/>
          <w:lang w:eastAsia="zh-CN"/>
        </w:rPr>
        <w:t>比选</w:t>
      </w:r>
      <w:r>
        <w:rPr>
          <w:rFonts w:hint="eastAsia" w:ascii="方正小标宋简体" w:hAnsi="方正小标宋简体" w:eastAsia="方正小标宋简体" w:cs="方正小标宋简体"/>
          <w:b w:val="0"/>
          <w:bCs w:val="0"/>
          <w:sz w:val="44"/>
          <w:szCs w:val="44"/>
        </w:rPr>
        <w:t>须知</w:t>
      </w:r>
    </w:p>
    <w:tbl>
      <w:tblPr>
        <w:tblStyle w:val="26"/>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73"/>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6" w:type="dxa"/>
            <w:noWrap w:val="0"/>
            <w:vAlign w:val="center"/>
          </w:tcPr>
          <w:p>
            <w:pPr>
              <w:pStyle w:val="24"/>
              <w:keepNext w:val="0"/>
              <w:keepLines w:val="0"/>
              <w:pageBreakBefore w:val="0"/>
              <w:widowControl w:val="0"/>
              <w:kinsoku/>
              <w:wordWrap/>
              <w:overflowPunct/>
              <w:topLinePunct w:val="0"/>
              <w:bidi w:val="0"/>
              <w:snapToGrid/>
              <w:spacing w:line="440" w:lineRule="exact"/>
              <w:ind w:firstLine="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序号</w:t>
            </w:r>
          </w:p>
        </w:tc>
        <w:tc>
          <w:tcPr>
            <w:tcW w:w="1873" w:type="dxa"/>
            <w:noWrap w:val="0"/>
            <w:vAlign w:val="center"/>
          </w:tcPr>
          <w:p>
            <w:pPr>
              <w:pStyle w:val="24"/>
              <w:keepNext w:val="0"/>
              <w:keepLines w:val="0"/>
              <w:pageBreakBefore w:val="0"/>
              <w:widowControl w:val="0"/>
              <w:kinsoku/>
              <w:wordWrap/>
              <w:overflowPunct/>
              <w:topLinePunct w:val="0"/>
              <w:bidi w:val="0"/>
              <w:snapToGrid/>
              <w:spacing w:line="440" w:lineRule="exact"/>
              <w:ind w:firstLine="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条款名称</w:t>
            </w:r>
          </w:p>
        </w:tc>
        <w:tc>
          <w:tcPr>
            <w:tcW w:w="6918" w:type="dxa"/>
            <w:noWrap w:val="0"/>
            <w:vAlign w:val="center"/>
          </w:tcPr>
          <w:p>
            <w:pPr>
              <w:pStyle w:val="24"/>
              <w:keepNext w:val="0"/>
              <w:keepLines w:val="0"/>
              <w:pageBreakBefore w:val="0"/>
              <w:widowControl w:val="0"/>
              <w:kinsoku/>
              <w:wordWrap/>
              <w:overflowPunct/>
              <w:topLinePunct w:val="0"/>
              <w:bidi w:val="0"/>
              <w:snapToGrid/>
              <w:spacing w:line="440" w:lineRule="exact"/>
              <w:ind w:firstLine="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比选人</w:t>
            </w:r>
          </w:p>
        </w:tc>
        <w:tc>
          <w:tcPr>
            <w:tcW w:w="6918" w:type="dxa"/>
            <w:noWrap w:val="0"/>
            <w:vAlign w:val="center"/>
          </w:tcPr>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：四川省多式联运投资发展有限公司</w:t>
            </w:r>
          </w:p>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sz w:val="28"/>
                <w:szCs w:val="28"/>
                <w:lang w:eastAsia="zh-Hans"/>
              </w:rPr>
            </w:pPr>
            <w:r>
              <w:rPr>
                <w:rFonts w:hint="eastAsia" w:ascii="仿宋_GB2312" w:hAnsi="仿宋_GB2312" w:eastAsia="仿宋_GB2312" w:cs="仿宋_GB2312"/>
                <w:kern w:val="0"/>
                <w:sz w:val="28"/>
                <w:szCs w:val="28"/>
                <w:lang w:eastAsia="zh-CN"/>
              </w:rPr>
              <w:t xml:space="preserve">地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址：</w:t>
            </w:r>
            <w:r>
              <w:rPr>
                <w:rFonts w:hint="eastAsia" w:ascii="仿宋_GB2312" w:hAnsi="仿宋_GB2312" w:eastAsia="仿宋_GB2312" w:cs="仿宋_GB2312"/>
                <w:sz w:val="28"/>
                <w:szCs w:val="28"/>
                <w:lang w:eastAsia="zh-Hans"/>
              </w:rPr>
              <w:t>成都市武侯区二环路西一段90号四川高速大厦</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Hans"/>
              </w:rPr>
              <w:t>楼</w:t>
            </w:r>
          </w:p>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 xml:space="preserve">电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话：</w:t>
            </w:r>
            <w:r>
              <w:rPr>
                <w:rFonts w:hint="eastAsia" w:ascii="仿宋_GB2312" w:hAnsi="仿宋_GB2312" w:eastAsia="仿宋_GB2312" w:cs="仿宋_GB2312"/>
                <w:kern w:val="0"/>
                <w:sz w:val="28"/>
                <w:szCs w:val="28"/>
                <w:lang w:val="en-US" w:eastAsia="zh-CN"/>
              </w:rPr>
              <w:t>028-67191792</w:t>
            </w:r>
          </w:p>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联系人：</w:t>
            </w:r>
            <w:r>
              <w:rPr>
                <w:rFonts w:hint="eastAsia" w:ascii="仿宋_GB2312" w:hAnsi="仿宋_GB2312" w:eastAsia="仿宋_GB2312" w:cs="仿宋_GB2312"/>
                <w:kern w:val="0"/>
                <w:sz w:val="28"/>
                <w:szCs w:val="28"/>
                <w:lang w:val="en-US" w:eastAsia="zh-CN"/>
              </w:rPr>
              <w:t>李</w:t>
            </w:r>
            <w:r>
              <w:rPr>
                <w:rFonts w:hint="eastAsia" w:ascii="仿宋_GB2312" w:hAnsi="仿宋_GB2312" w:eastAsia="仿宋_GB2312" w:cs="仿宋_GB2312"/>
                <w:kern w:val="0"/>
                <w:sz w:val="28"/>
                <w:szCs w:val="28"/>
                <w:lang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2</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项目名称</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sz w:val="28"/>
                <w:szCs w:val="28"/>
              </w:rPr>
              <w:t>新津高速公路智慧物流港规划方案编制项目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3</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履行</w:t>
            </w:r>
            <w:r>
              <w:rPr>
                <w:rFonts w:hint="eastAsia" w:ascii="仿宋_GB2312" w:hAnsi="仿宋_GB2312" w:eastAsia="仿宋_GB2312" w:cs="仿宋_GB2312"/>
                <w:kern w:val="0"/>
                <w:sz w:val="28"/>
                <w:szCs w:val="28"/>
                <w:lang w:eastAsia="zh-CN"/>
              </w:rPr>
              <w:t>地点</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比选人</w:t>
            </w:r>
            <w:r>
              <w:rPr>
                <w:rFonts w:hint="eastAsia" w:ascii="仿宋_GB2312" w:hAnsi="仿宋_GB2312" w:eastAsia="仿宋_GB2312" w:cs="仿宋_GB2312"/>
                <w:kern w:val="0"/>
                <w:sz w:val="28"/>
                <w:szCs w:val="28"/>
                <w:lang w:val="en-US" w:eastAsia="zh-CN"/>
              </w:rPr>
              <w:t>指定地点</w:t>
            </w:r>
            <w:r>
              <w:rPr>
                <w:rFonts w:hint="eastAsia" w:ascii="仿宋_GB2312" w:hAnsi="仿宋_GB2312"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4</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招标范围</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5</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履行期限</w:t>
            </w:r>
          </w:p>
        </w:tc>
        <w:tc>
          <w:tcPr>
            <w:tcW w:w="6918" w:type="dxa"/>
            <w:noWrap w:val="0"/>
            <w:vAlign w:val="center"/>
          </w:tcPr>
          <w:p>
            <w:pPr>
              <w:keepNext w:val="0"/>
              <w:keepLines w:val="0"/>
              <w:pageBreakBefore w:val="0"/>
              <w:widowControl/>
              <w:kinsoku/>
              <w:wordWrap/>
              <w:overflowPunct/>
              <w:topLinePunct w:val="0"/>
              <w:autoSpaceDE w:val="0"/>
              <w:autoSpaceDN w:val="0"/>
              <w:bidi w:val="0"/>
              <w:snapToGrid/>
              <w:spacing w:line="440" w:lineRule="exact"/>
              <w:textAlignment w:val="bottom"/>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6</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服务质量</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满足</w:t>
            </w:r>
            <w:r>
              <w:rPr>
                <w:rFonts w:hint="eastAsia" w:ascii="仿宋_GB2312" w:hAnsi="仿宋_GB2312" w:eastAsia="仿宋_GB2312" w:cs="仿宋_GB2312"/>
                <w:kern w:val="0"/>
                <w:sz w:val="28"/>
                <w:szCs w:val="28"/>
                <w:lang w:eastAsia="zh-CN"/>
              </w:rPr>
              <w:t>比选人的要求。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7</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资质条件、能力</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（一）比选申请人须为中华人民共和国境内依法注册的法人机构，成立三年（含三年）以上，持有有效营业执照，</w:t>
            </w:r>
            <w:r>
              <w:rPr>
                <w:rFonts w:hint="eastAsia" w:ascii="仿宋_GB2312" w:hAnsi="仿宋_GB2312" w:eastAsia="仿宋_GB2312" w:cs="仿宋_GB2312"/>
                <w:color w:val="000000"/>
                <w:kern w:val="0"/>
                <w:sz w:val="28"/>
                <w:szCs w:val="28"/>
                <w:lang w:val="en-US" w:eastAsia="zh-CN" w:bidi="ar-SA"/>
              </w:rPr>
              <w:t>有规划设计、企业管理咨询、技术咨询、物流规划等资质及相关工作经验</w:t>
            </w:r>
            <w:r>
              <w:rPr>
                <w:rFonts w:hint="eastAsia" w:ascii="仿宋_GB2312" w:hAnsi="仿宋_GB2312" w:eastAsia="仿宋_GB2312" w:cs="仿宋_GB2312"/>
                <w:kern w:val="0"/>
                <w:sz w:val="28"/>
                <w:szCs w:val="28"/>
                <w:highlight w:val="none"/>
                <w:lang w:eastAsia="zh-CN"/>
              </w:rPr>
              <w:t>，并符合《四川省国资委及出资企业中介机构选聘管理试行办法》（川国资委办〔2019〕9号）第六条和第七条的要求。</w:t>
            </w:r>
          </w:p>
          <w:p>
            <w:pPr>
              <w:pStyle w:val="13"/>
              <w:spacing w:line="440" w:lineRule="exact"/>
              <w:ind w:left="0" w:leftChars="0" w:firstLine="0" w:firstLineChars="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sz w:val="28"/>
                <w:szCs w:val="28"/>
                <w:lang w:eastAsia="zh-CN"/>
              </w:rPr>
              <w:t>（二）比选申请</w:t>
            </w:r>
            <w:r>
              <w:rPr>
                <w:rFonts w:hint="eastAsia" w:ascii="仿宋_GB2312" w:hAnsi="仿宋_GB2312" w:eastAsia="仿宋_GB2312" w:cs="仿宋_GB2312"/>
                <w:sz w:val="28"/>
                <w:szCs w:val="28"/>
              </w:rPr>
              <w:t>人需具有良好的银行资信和商业信誉，机构及人员执业稳定；近三年内未因违法、违规、违纪行为受过处罚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须提供承诺书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SA"/>
              </w:rPr>
              <w:t>参加本次选聘活动前三年内（2019年1月1日至今）在经营活动中没有重大违法记录，且在国家企业信用信息公示系统（http//www.gsxt.gov.cn）中未被列入严重违法失信企业名单；</w:t>
            </w:r>
          </w:p>
          <w:p>
            <w:pPr>
              <w:pStyle w:val="13"/>
              <w:keepNext w:val="0"/>
              <w:keepLines w:val="0"/>
              <w:pageBreakBefore w:val="0"/>
              <w:widowControl/>
              <w:kinsoku/>
              <w:wordWrap/>
              <w:overflowPunct/>
              <w:topLinePunct w:val="0"/>
              <w:autoSpaceDE/>
              <w:autoSpaceDN/>
              <w:bidi w:val="0"/>
              <w:adjustRightInd/>
              <w:snapToGrid/>
              <w:spacing w:line="440" w:lineRule="exact"/>
              <w:ind w:firstLine="0"/>
              <w:jc w:val="both"/>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sz w:val="28"/>
                <w:szCs w:val="28"/>
                <w:highlight w:val="none"/>
                <w:lang w:eastAsia="zh-CN"/>
              </w:rPr>
              <w:t>（三）比选申请</w:t>
            </w:r>
            <w:r>
              <w:rPr>
                <w:rFonts w:hint="eastAsia" w:ascii="仿宋_GB2312" w:hAnsi="仿宋_GB2312" w:eastAsia="仿宋_GB2312" w:cs="仿宋_GB2312"/>
                <w:bCs/>
                <w:kern w:val="0"/>
                <w:sz w:val="28"/>
                <w:szCs w:val="28"/>
                <w:highlight w:val="none"/>
                <w:lang w:val="en-US" w:eastAsia="zh-CN"/>
              </w:rPr>
              <w:t>人须具备至少一个</w:t>
            </w:r>
            <w:r>
              <w:rPr>
                <w:rFonts w:hint="eastAsia" w:ascii="仿宋_GB2312" w:hAnsi="仿宋_GB2312" w:eastAsia="仿宋_GB2312" w:cs="仿宋_GB2312"/>
                <w:color w:val="000000"/>
                <w:kern w:val="0"/>
                <w:sz w:val="28"/>
                <w:szCs w:val="28"/>
                <w:lang w:val="en-US" w:eastAsia="zh-CN" w:bidi="ar-SA"/>
              </w:rPr>
              <w:t>类似业绩（交通物流领域规划方案编制等类似业绩）</w:t>
            </w:r>
            <w:r>
              <w:rPr>
                <w:rFonts w:hint="eastAsia" w:ascii="仿宋_GB2312" w:hAnsi="仿宋_GB2312" w:eastAsia="仿宋_GB2312" w:cs="仿宋_GB2312"/>
                <w:bCs/>
                <w:kern w:val="0"/>
                <w:sz w:val="28"/>
                <w:szCs w:val="28"/>
                <w:highlight w:val="none"/>
                <w:lang w:val="en-US" w:eastAsia="zh-CN"/>
              </w:rPr>
              <w:t>（</w:t>
            </w:r>
            <w:r>
              <w:rPr>
                <w:rFonts w:hint="eastAsia" w:ascii="仿宋_GB2312" w:hAnsi="仿宋_GB2312" w:eastAsia="仿宋_GB2312" w:cs="仿宋_GB2312"/>
                <w:bCs/>
                <w:kern w:val="0"/>
                <w:sz w:val="28"/>
                <w:szCs w:val="28"/>
                <w:highlight w:val="none"/>
                <w:lang w:val="en-US" w:eastAsia="zh-Hans"/>
              </w:rPr>
              <w:t>须提供证明文件</w:t>
            </w:r>
            <w:r>
              <w:rPr>
                <w:rFonts w:hint="eastAsia" w:ascii="仿宋_GB2312" w:hAnsi="仿宋_GB2312" w:eastAsia="仿宋_GB2312" w:cs="仿宋_GB2312"/>
                <w:bCs/>
                <w:kern w:val="0"/>
                <w:sz w:val="28"/>
                <w:szCs w:val="28"/>
                <w:highlight w:val="none"/>
                <w:lang w:val="en-US" w:eastAsia="zh-CN"/>
              </w:rPr>
              <w:t>）；</w:t>
            </w:r>
          </w:p>
          <w:p>
            <w:pPr>
              <w:pStyle w:val="13"/>
              <w:keepNext w:val="0"/>
              <w:keepLines w:val="0"/>
              <w:pageBreakBefore w:val="0"/>
              <w:kinsoku/>
              <w:overflowPunct/>
              <w:topLinePunct w:val="0"/>
              <w:autoSpaceDE/>
              <w:autoSpaceDN/>
              <w:bidi w:val="0"/>
              <w:adjustRightInd/>
              <w:snapToGrid/>
              <w:spacing w:line="440" w:lineRule="exact"/>
              <w:ind w:firstLine="0" w:firstLineChars="0"/>
              <w:textAlignment w:val="auto"/>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CN"/>
              </w:rPr>
              <w:t>（四）比选申请</w:t>
            </w:r>
            <w:r>
              <w:rPr>
                <w:rFonts w:hint="eastAsia" w:ascii="仿宋_GB2312" w:hAnsi="仿宋_GB2312" w:eastAsia="仿宋_GB2312" w:cs="仿宋_GB2312"/>
                <w:sz w:val="28"/>
                <w:szCs w:val="28"/>
                <w:lang w:eastAsia="zh-Hans"/>
              </w:rPr>
              <w:t>人</w:t>
            </w:r>
            <w:r>
              <w:rPr>
                <w:rFonts w:hint="eastAsia" w:ascii="仿宋_GB2312" w:hAnsi="仿宋_GB2312" w:eastAsia="仿宋_GB2312" w:cs="仿宋_GB2312"/>
                <w:sz w:val="28"/>
                <w:szCs w:val="28"/>
                <w:lang w:val="en-US" w:eastAsia="zh-CN"/>
              </w:rPr>
              <w:t>须</w:t>
            </w:r>
            <w:r>
              <w:rPr>
                <w:rFonts w:hint="eastAsia" w:ascii="仿宋_GB2312" w:hAnsi="仿宋_GB2312" w:eastAsia="仿宋_GB2312" w:cs="仿宋_GB2312"/>
                <w:sz w:val="28"/>
                <w:szCs w:val="28"/>
                <w:lang w:eastAsia="zh-Hans"/>
              </w:rPr>
              <w:t>派出不少于3名</w:t>
            </w:r>
            <w:r>
              <w:rPr>
                <w:rFonts w:hint="eastAsia" w:ascii="仿宋_GB2312" w:hAnsi="仿宋_GB2312" w:eastAsia="仿宋_GB2312" w:cs="仿宋_GB2312"/>
                <w:color w:val="000000"/>
                <w:kern w:val="0"/>
                <w:sz w:val="28"/>
                <w:szCs w:val="28"/>
                <w:lang w:val="en-US" w:eastAsia="zh-CN" w:bidi="ar-SA"/>
              </w:rPr>
              <w:t>熟悉空、铁、公、水等物流板块，并具有物流、多式联运领域相关工作经验的专职人员</w:t>
            </w:r>
            <w:r>
              <w:rPr>
                <w:rFonts w:hint="eastAsia" w:ascii="仿宋_GB2312" w:hAnsi="仿宋_GB2312" w:eastAsia="仿宋_GB2312" w:cs="仿宋_GB2312"/>
                <w:sz w:val="28"/>
                <w:szCs w:val="28"/>
                <w:lang w:eastAsia="zh-Hans"/>
              </w:rPr>
              <w:t>组成的团队承担本</w:t>
            </w:r>
            <w:r>
              <w:rPr>
                <w:rFonts w:hint="eastAsia" w:ascii="仿宋_GB2312" w:hAnsi="仿宋_GB2312" w:eastAsia="仿宋_GB2312" w:cs="仿宋_GB2312"/>
                <w:sz w:val="28"/>
                <w:szCs w:val="28"/>
                <w:lang w:val="en-US" w:eastAsia="zh-CN"/>
              </w:rPr>
              <w:t>次项目规划方案编制</w:t>
            </w:r>
            <w:r>
              <w:rPr>
                <w:rFonts w:hint="eastAsia" w:ascii="仿宋_GB2312" w:hAnsi="仿宋_GB2312" w:eastAsia="仿宋_GB2312" w:cs="仿宋_GB2312"/>
                <w:sz w:val="28"/>
                <w:szCs w:val="28"/>
                <w:lang w:eastAsia="zh-Hans"/>
              </w:rPr>
              <w:t>工作。</w:t>
            </w:r>
          </w:p>
          <w:p>
            <w:pPr>
              <w:pStyle w:val="13"/>
              <w:keepNext w:val="0"/>
              <w:keepLines w:val="0"/>
              <w:pageBreakBefore w:val="0"/>
              <w:kinsoku/>
              <w:overflowPunct/>
              <w:topLinePunct w:val="0"/>
              <w:autoSpaceDE/>
              <w:autoSpaceDN/>
              <w:bidi w:val="0"/>
              <w:adjustRightInd/>
              <w:snapToGrid/>
              <w:spacing w:line="440" w:lineRule="exact"/>
              <w:ind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公开比选</w:t>
            </w:r>
            <w:r>
              <w:rPr>
                <w:rFonts w:hint="eastAsia" w:ascii="仿宋_GB2312" w:hAnsi="仿宋_GB2312" w:eastAsia="仿宋_GB2312" w:cs="仿宋_GB2312"/>
                <w:sz w:val="28"/>
                <w:szCs w:val="28"/>
              </w:rPr>
              <w:t>不接受联合体</w:t>
            </w:r>
            <w:r>
              <w:rPr>
                <w:rFonts w:hint="eastAsia" w:ascii="仿宋_GB2312" w:hAnsi="仿宋_GB2312" w:eastAsia="仿宋_GB2312" w:cs="仿宋_GB2312"/>
                <w:sz w:val="28"/>
                <w:szCs w:val="28"/>
                <w:lang w:val="en-US" w:eastAsia="zh-CN"/>
              </w:rPr>
              <w:t>参与，</w:t>
            </w:r>
            <w:r>
              <w:rPr>
                <w:rFonts w:hint="eastAsia" w:ascii="仿宋_GB2312" w:hAnsi="仿宋_GB2312" w:eastAsia="仿宋_GB2312" w:cs="仿宋_GB2312"/>
                <w:i w:val="0"/>
                <w:iCs w:val="0"/>
                <w:caps w:val="0"/>
                <w:color w:val="auto"/>
                <w:spacing w:val="0"/>
                <w:sz w:val="28"/>
                <w:szCs w:val="28"/>
                <w:highlight w:val="none"/>
              </w:rPr>
              <w:t>不接受单位负责人为同一人或者存在直接控股、管理关系的不同投标人同时参与本项目的投标</w:t>
            </w:r>
            <w:r>
              <w:rPr>
                <w:rFonts w:hint="eastAsia" w:ascii="仿宋_GB2312" w:hAnsi="仿宋_GB2312" w:eastAsia="仿宋_GB2312" w:cs="仿宋_GB2312"/>
                <w:sz w:val="28"/>
                <w:szCs w:val="28"/>
                <w:lang w:val="en-US" w:eastAsia="zh-CN"/>
              </w:rPr>
              <w:t>。</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（六）比选申请人不得转包或分包给其他机构或个人实施。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86" w:type="dxa"/>
            <w:vMerge w:val="restart"/>
            <w:noWrap w:val="0"/>
            <w:vAlign w:val="center"/>
          </w:tcPr>
          <w:p>
            <w:pPr>
              <w:pStyle w:val="22"/>
              <w:keepNext w:val="0"/>
              <w:keepLines w:val="0"/>
              <w:pageBreakBefore w:val="0"/>
              <w:kinsoku/>
              <w:wordWrap/>
              <w:overflowPunct/>
              <w:topLinePunct w:val="0"/>
              <w:bidi w:val="0"/>
              <w:snapToGrid/>
              <w:spacing w:line="44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8</w:t>
            </w:r>
          </w:p>
        </w:tc>
        <w:tc>
          <w:tcPr>
            <w:tcW w:w="1873" w:type="dxa"/>
            <w:vMerge w:val="restart"/>
            <w:noWrap w:val="0"/>
            <w:vAlign w:val="center"/>
          </w:tcPr>
          <w:p>
            <w:pPr>
              <w:pStyle w:val="22"/>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要求澄清</w:t>
            </w:r>
            <w:r>
              <w:rPr>
                <w:rFonts w:hint="eastAsia" w:ascii="仿宋_GB2312" w:hAnsi="仿宋_GB2312" w:eastAsia="仿宋_GB2312" w:cs="仿宋_GB2312"/>
                <w:kern w:val="0"/>
                <w:sz w:val="28"/>
                <w:szCs w:val="28"/>
                <w:lang w:val="en-US" w:eastAsia="zh-CN"/>
              </w:rPr>
              <w:t>比选文件</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时间：比选申请人在递交比选申请文件截止之日</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lang w:eastAsia="zh-CN"/>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Merge w:val="continue"/>
            <w:noWrap w:val="0"/>
            <w:vAlign w:val="center"/>
          </w:tcPr>
          <w:p>
            <w:pPr>
              <w:pStyle w:val="22"/>
              <w:keepNext w:val="0"/>
              <w:keepLines w:val="0"/>
              <w:pageBreakBefore w:val="0"/>
              <w:kinsoku/>
              <w:wordWrap/>
              <w:overflowPunct/>
              <w:topLinePunct w:val="0"/>
              <w:bidi w:val="0"/>
              <w:snapToGrid/>
              <w:spacing w:line="440" w:lineRule="exact"/>
              <w:rPr>
                <w:rFonts w:hint="eastAsia" w:ascii="仿宋" w:hAnsi="仿宋" w:eastAsia="仿宋" w:cs="仿宋"/>
                <w:kern w:val="0"/>
                <w:sz w:val="28"/>
                <w:szCs w:val="28"/>
                <w:lang w:eastAsia="zh-CN"/>
              </w:rPr>
            </w:pPr>
          </w:p>
        </w:tc>
        <w:tc>
          <w:tcPr>
            <w:tcW w:w="1873" w:type="dxa"/>
            <w:vMerge w:val="continue"/>
            <w:noWrap w:val="0"/>
            <w:vAlign w:val="center"/>
          </w:tcPr>
          <w:p>
            <w:pPr>
              <w:pStyle w:val="22"/>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形式：以书面形式要求澄清</w:t>
            </w: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9</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澄清发出的形式</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将以补遗书形式对</w:t>
            </w: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确认收到</w:t>
            </w: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澄清</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形式：不要求比选申请人向</w:t>
            </w: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1</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密封的形式</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2" w:char="00A3"/>
            </w:r>
            <w:r>
              <w:rPr>
                <w:rFonts w:hint="eastAsia" w:ascii="仿宋_GB2312" w:hAnsi="仿宋_GB2312" w:eastAsia="仿宋_GB2312" w:cs="仿宋_GB2312"/>
                <w:kern w:val="0"/>
                <w:sz w:val="28"/>
                <w:szCs w:val="28"/>
                <w:lang w:eastAsia="zh-CN"/>
              </w:rPr>
              <w:t>双信封</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2</w:t>
            </w:r>
          </w:p>
        </w:tc>
        <w:tc>
          <w:tcPr>
            <w:tcW w:w="1873" w:type="dxa"/>
            <w:noWrap w:val="0"/>
            <w:vAlign w:val="center"/>
          </w:tcPr>
          <w:p>
            <w:pPr>
              <w:pStyle w:val="13"/>
              <w:keepNext w:val="0"/>
              <w:keepLines w:val="0"/>
              <w:pageBreakBefore w:val="0"/>
              <w:kinsoku/>
              <w:wordWrap/>
              <w:overflowPunct/>
              <w:topLinePunct w:val="0"/>
              <w:bidi w:val="0"/>
              <w:adjustRightInd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的组成</w:t>
            </w:r>
          </w:p>
        </w:tc>
        <w:tc>
          <w:tcPr>
            <w:tcW w:w="6918" w:type="dxa"/>
            <w:noWrap w:val="0"/>
            <w:vAlign w:val="center"/>
          </w:tcPr>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比选申请人应按照比选文件的规定和要求编制比选申请文件。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3</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增值税税金的计算方法</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参选</w:t>
            </w:r>
            <w:r>
              <w:rPr>
                <w:rFonts w:hint="eastAsia" w:ascii="仿宋_GB2312" w:hAnsi="仿宋_GB2312" w:eastAsia="仿宋_GB2312" w:cs="仿宋_GB2312"/>
                <w:kern w:val="0"/>
                <w:sz w:val="28"/>
                <w:szCs w:val="28"/>
                <w:lang w:eastAsia="zh-CN"/>
              </w:rPr>
              <w:t>报价为含税价，增值税税金按</w:t>
            </w:r>
            <w:r>
              <w:rPr>
                <w:rFonts w:hint="eastAsia" w:ascii="仿宋_GB2312" w:hAnsi="仿宋_GB2312" w:eastAsia="仿宋_GB2312" w:cs="仿宋_GB2312"/>
                <w:kern w:val="0"/>
                <w:sz w:val="28"/>
                <w:szCs w:val="28"/>
                <w:lang w:val="en-US" w:eastAsia="zh-CN"/>
              </w:rPr>
              <w:t>一般纳税人</w:t>
            </w:r>
            <w:r>
              <w:rPr>
                <w:rFonts w:hint="eastAsia" w:ascii="仿宋_GB2312" w:hAnsi="仿宋_GB2312" w:eastAsia="仿宋_GB2312" w:cs="仿宋_GB2312"/>
                <w:kern w:val="0"/>
                <w:sz w:val="28"/>
                <w:szCs w:val="28"/>
                <w:lang w:eastAsia="zh-CN"/>
              </w:rPr>
              <w:t>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4</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报价方式</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☑总价</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w:char="00A8"/>
            </w:r>
            <w:r>
              <w:rPr>
                <w:rFonts w:hint="eastAsia" w:ascii="仿宋_GB2312" w:hAnsi="仿宋_GB2312" w:eastAsia="仿宋_GB2312" w:cs="仿宋_GB2312"/>
                <w:kern w:val="0"/>
                <w:sz w:val="28"/>
                <w:szCs w:val="28"/>
                <w:lang w:eastAsia="zh-CN"/>
              </w:rPr>
              <w:t>降幅比例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5</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是否接受调价函</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□是</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2" w:char="F052"/>
            </w:r>
            <w:r>
              <w:rPr>
                <w:rFonts w:hint="eastAsia" w:ascii="仿宋_GB2312" w:hAnsi="仿宋_GB2312" w:eastAsia="仿宋_GB2312" w:cs="仿宋_GB2312"/>
                <w:kern w:val="0"/>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6</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最高投标限价</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人民币</w:t>
            </w:r>
            <w:r>
              <w:rPr>
                <w:rFonts w:hint="eastAsia" w:ascii="仿宋_GB2312" w:hAnsi="仿宋_GB2312" w:eastAsia="仿宋_GB2312" w:cs="仿宋_GB2312"/>
                <w:kern w:val="0"/>
                <w:sz w:val="28"/>
                <w:szCs w:val="28"/>
                <w:lang w:val="en-US" w:eastAsia="zh-CN"/>
              </w:rPr>
              <w:t>45万</w:t>
            </w:r>
            <w:r>
              <w:rPr>
                <w:rFonts w:hint="eastAsia" w:ascii="仿宋_GB2312" w:hAnsi="仿宋_GB2312" w:eastAsia="仿宋_GB2312" w:cs="仿宋_GB2312"/>
                <w:kern w:val="0"/>
                <w:sz w:val="28"/>
                <w:szCs w:val="28"/>
                <w:lang w:eastAsia="zh-CN"/>
              </w:rPr>
              <w:t>元（</w:t>
            </w:r>
            <w:r>
              <w:rPr>
                <w:rFonts w:hint="eastAsia" w:ascii="仿宋_GB2312" w:hAnsi="仿宋_GB2312" w:eastAsia="仿宋_GB2312" w:cs="仿宋_GB2312"/>
                <w:kern w:val="0"/>
                <w:sz w:val="28"/>
                <w:szCs w:val="28"/>
                <w:lang w:val="en-US" w:eastAsia="zh-CN"/>
              </w:rPr>
              <w:t>大写：肆拾万元整</w:t>
            </w:r>
            <w:r>
              <w:rPr>
                <w:rFonts w:hint="eastAsia" w:ascii="仿宋_GB2312" w:hAnsi="仿宋_GB2312"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r>
              <w:rPr>
                <w:rFonts w:hint="eastAsia" w:ascii="仿宋" w:hAnsi="仿宋" w:eastAsia="仿宋" w:cs="仿宋"/>
                <w:kern w:val="0"/>
                <w:sz w:val="28"/>
                <w:szCs w:val="28"/>
                <w:lang w:val="en-US" w:eastAsia="zh-CN"/>
              </w:rPr>
              <w:t>7</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参选</w:t>
            </w:r>
            <w:r>
              <w:rPr>
                <w:rFonts w:hint="eastAsia" w:ascii="仿宋_GB2312" w:hAnsi="仿宋_GB2312" w:eastAsia="仿宋_GB2312" w:cs="仿宋_GB2312"/>
                <w:kern w:val="0"/>
                <w:sz w:val="28"/>
                <w:szCs w:val="28"/>
                <w:lang w:eastAsia="zh-CN"/>
              </w:rPr>
              <w:t>有效期</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自</w:t>
            </w: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提交</w:t>
            </w: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截止之日起计算60天。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18</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参选</w:t>
            </w:r>
            <w:r>
              <w:rPr>
                <w:rFonts w:hint="eastAsia" w:ascii="仿宋_GB2312" w:hAnsi="仿宋_GB2312" w:eastAsia="仿宋_GB2312" w:cs="仿宋_GB2312"/>
                <w:kern w:val="0"/>
                <w:sz w:val="28"/>
                <w:szCs w:val="28"/>
                <w:lang w:eastAsia="zh-CN"/>
              </w:rPr>
              <w:t>保证金</w:t>
            </w:r>
          </w:p>
        </w:tc>
        <w:tc>
          <w:tcPr>
            <w:tcW w:w="6918" w:type="dxa"/>
            <w:noWrap w:val="0"/>
            <w:vAlign w:val="center"/>
          </w:tcPr>
          <w:p>
            <w:pPr>
              <w:pStyle w:val="13"/>
              <w:keepNext w:val="0"/>
              <w:keepLines w:val="0"/>
              <w:pageBreakBefore w:val="0"/>
              <w:kinsoku/>
              <w:wordWrap/>
              <w:overflowPunct/>
              <w:topLinePunct w:val="0"/>
              <w:bidi w:val="0"/>
              <w:snapToGrid/>
              <w:spacing w:line="440" w:lineRule="exact"/>
              <w:ind w:firstLine="0" w:firstLineChars="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19</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是否允许递交备选</w:t>
            </w:r>
            <w:r>
              <w:rPr>
                <w:rFonts w:hint="eastAsia" w:ascii="仿宋_GB2312" w:hAnsi="仿宋_GB2312" w:eastAsia="仿宋_GB2312" w:cs="仿宋_GB2312"/>
                <w:kern w:val="0"/>
                <w:sz w:val="28"/>
                <w:szCs w:val="28"/>
                <w:lang w:val="en-US" w:eastAsia="zh-CN"/>
              </w:rPr>
              <w:t>参选</w:t>
            </w:r>
            <w:r>
              <w:rPr>
                <w:rFonts w:hint="eastAsia" w:ascii="仿宋_GB2312" w:hAnsi="仿宋_GB2312" w:eastAsia="仿宋_GB2312" w:cs="仿宋_GB2312"/>
                <w:kern w:val="0"/>
                <w:sz w:val="28"/>
                <w:szCs w:val="28"/>
                <w:lang w:eastAsia="zh-CN"/>
              </w:rPr>
              <w:t>方案</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2" w:char="F052"/>
            </w:r>
            <w:r>
              <w:rPr>
                <w:rFonts w:hint="eastAsia" w:ascii="仿宋_GB2312" w:hAnsi="仿宋_GB2312" w:eastAsia="仿宋_GB2312" w:cs="仿宋_GB2312"/>
                <w:kern w:val="0"/>
                <w:sz w:val="28"/>
                <w:szCs w:val="28"/>
                <w:lang w:eastAsia="zh-CN"/>
              </w:rPr>
              <w:t>不允许</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0</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签字或盖章要求</w:t>
            </w:r>
          </w:p>
        </w:tc>
        <w:tc>
          <w:tcPr>
            <w:tcW w:w="6918" w:type="dxa"/>
            <w:noWrap w:val="0"/>
            <w:vAlign w:val="center"/>
          </w:tcPr>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（1）法定代表人和委托代理人可在授权书上亲笔签名或使用印章、签名章签名；</w:t>
            </w:r>
          </w:p>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（2）</w:t>
            </w: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格式上所有要求盖章的地方都须加盖</w:t>
            </w: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单位</w:t>
            </w:r>
            <w:r>
              <w:rPr>
                <w:rFonts w:hint="eastAsia" w:ascii="仿宋_GB2312" w:hAnsi="仿宋_GB2312" w:eastAsia="仿宋_GB2312" w:cs="仿宋_GB2312"/>
                <w:kern w:val="0"/>
                <w:sz w:val="28"/>
                <w:szCs w:val="28"/>
                <w:lang w:val="en-US" w:eastAsia="zh-CN"/>
              </w:rPr>
              <w:t>公</w:t>
            </w:r>
            <w:r>
              <w:rPr>
                <w:rFonts w:hint="eastAsia" w:ascii="仿宋_GB2312" w:hAnsi="仿宋_GB2312" w:eastAsia="仿宋_GB2312" w:cs="仿宋_GB2312"/>
                <w:kern w:val="0"/>
                <w:sz w:val="28"/>
                <w:szCs w:val="28"/>
                <w:lang w:eastAsia="zh-CN"/>
              </w:rPr>
              <w:t>章（法定名称）</w:t>
            </w:r>
            <w:r>
              <w:rPr>
                <w:rFonts w:hint="eastAsia" w:ascii="仿宋_GB2312" w:hAnsi="仿宋_GB2312" w:eastAsia="仿宋_GB2312" w:cs="仿宋_GB2312"/>
                <w:kern w:val="0"/>
                <w:sz w:val="28"/>
                <w:szCs w:val="28"/>
                <w:lang w:val="en-US" w:eastAsia="zh-CN"/>
              </w:rPr>
              <w:t>鲜章</w:t>
            </w:r>
            <w:r>
              <w:rPr>
                <w:rFonts w:hint="eastAsia" w:ascii="仿宋_GB2312" w:hAnsi="仿宋_GB2312" w:eastAsia="仿宋_GB2312" w:cs="仿宋_GB2312"/>
                <w:kern w:val="0"/>
                <w:sz w:val="28"/>
                <w:szCs w:val="28"/>
                <w:lang w:eastAsia="zh-CN"/>
              </w:rPr>
              <w:t>，不得使用专用印章，单位章内容必须与</w:t>
            </w:r>
            <w:r>
              <w:rPr>
                <w:rFonts w:hint="eastAsia" w:ascii="仿宋_GB2312" w:hAnsi="仿宋_GB2312" w:eastAsia="仿宋_GB2312" w:cs="仿宋_GB2312"/>
                <w:kern w:val="0"/>
                <w:sz w:val="28"/>
                <w:szCs w:val="28"/>
                <w:lang w:val="en-US" w:eastAsia="zh-CN"/>
              </w:rPr>
              <w:t>营业执照</w:t>
            </w:r>
            <w:r>
              <w:rPr>
                <w:rFonts w:hint="eastAsia" w:ascii="仿宋_GB2312" w:hAnsi="仿宋_GB2312" w:eastAsia="仿宋_GB2312" w:cs="仿宋_GB2312"/>
                <w:kern w:val="0"/>
                <w:sz w:val="28"/>
                <w:szCs w:val="28"/>
                <w:lang w:eastAsia="zh-CN"/>
              </w:rPr>
              <w:t>名称一致；</w:t>
            </w:r>
          </w:p>
          <w:p>
            <w:pPr>
              <w:pStyle w:val="13"/>
              <w:keepNext w:val="0"/>
              <w:keepLines w:val="0"/>
              <w:pageBreakBefore w:val="0"/>
              <w:tabs>
                <w:tab w:val="left" w:pos="4452"/>
              </w:tabs>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（3）</w:t>
            </w: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格式中对应内容在提交的</w:t>
            </w:r>
            <w:r>
              <w:rPr>
                <w:rFonts w:hint="eastAsia" w:ascii="仿宋_GB2312" w:hAnsi="仿宋_GB2312" w:eastAsia="仿宋_GB2312" w:cs="仿宋_GB2312"/>
                <w:kern w:val="0"/>
                <w:sz w:val="28"/>
                <w:szCs w:val="28"/>
                <w:lang w:val="en-US" w:eastAsia="zh-CN"/>
              </w:rPr>
              <w:t>比选申请文件</w:t>
            </w:r>
            <w:r>
              <w:rPr>
                <w:rFonts w:hint="eastAsia" w:ascii="仿宋_GB2312" w:hAnsi="仿宋_GB2312" w:eastAsia="仿宋_GB2312" w:cs="仿宋_GB2312"/>
                <w:kern w:val="0"/>
                <w:sz w:val="28"/>
                <w:szCs w:val="28"/>
                <w:lang w:eastAsia="zh-CN"/>
              </w:rPr>
              <w:t>中的任何改动之处应加盖单位</w:t>
            </w:r>
            <w:r>
              <w:rPr>
                <w:rFonts w:hint="eastAsia" w:ascii="仿宋_GB2312" w:hAnsi="仿宋_GB2312" w:eastAsia="仿宋_GB2312" w:cs="仿宋_GB2312"/>
                <w:kern w:val="0"/>
                <w:sz w:val="28"/>
                <w:szCs w:val="28"/>
                <w:lang w:val="en-US" w:eastAsia="zh-CN"/>
              </w:rPr>
              <w:t>公</w:t>
            </w:r>
            <w:r>
              <w:rPr>
                <w:rFonts w:hint="eastAsia" w:ascii="仿宋_GB2312" w:hAnsi="仿宋_GB2312" w:eastAsia="仿宋_GB2312" w:cs="仿宋_GB2312"/>
                <w:kern w:val="0"/>
                <w:sz w:val="28"/>
                <w:szCs w:val="28"/>
                <w:lang w:eastAsia="zh-CN"/>
              </w:rPr>
              <w:t>章或由</w:t>
            </w:r>
            <w:r>
              <w:rPr>
                <w:rFonts w:hint="eastAsia" w:ascii="仿宋_GB2312" w:hAnsi="仿宋_GB2312" w:eastAsia="仿宋_GB2312" w:cs="仿宋_GB2312"/>
                <w:kern w:val="0"/>
                <w:sz w:val="28"/>
                <w:szCs w:val="28"/>
                <w:lang w:val="en-US" w:eastAsia="zh-CN"/>
              </w:rPr>
              <w:t>比选申请人</w:t>
            </w:r>
            <w:r>
              <w:rPr>
                <w:rFonts w:hint="eastAsia" w:ascii="仿宋_GB2312" w:hAnsi="仿宋_GB2312" w:eastAsia="仿宋_GB2312" w:cs="仿宋_GB2312"/>
                <w:kern w:val="0"/>
                <w:sz w:val="28"/>
                <w:szCs w:val="28"/>
                <w:lang w:eastAsia="zh-CN"/>
              </w:rPr>
              <w:t>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21</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比选申请文件份数及其他要求</w:t>
            </w:r>
          </w:p>
        </w:tc>
        <w:tc>
          <w:tcPr>
            <w:tcW w:w="6918" w:type="dxa"/>
            <w:noWrap w:val="0"/>
            <w:vAlign w:val="center"/>
          </w:tcPr>
          <w:p>
            <w:pPr>
              <w:keepNext w:val="0"/>
              <w:keepLines w:val="0"/>
              <w:pageBreakBefore w:val="0"/>
              <w:tabs>
                <w:tab w:val="left" w:pos="5220"/>
                <w:tab w:val="left" w:pos="5400"/>
                <w:tab w:val="left" w:pos="5580"/>
              </w:tabs>
              <w:kinsoku/>
              <w:wordWrap/>
              <w:overflowPunct/>
              <w:topLinePunct w:val="0"/>
              <w:autoSpaceDE w:val="0"/>
              <w:autoSpaceDN w:val="0"/>
              <w:bidi w:val="0"/>
              <w:adjustRightInd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w:t>
            </w:r>
            <w:r>
              <w:rPr>
                <w:rFonts w:hint="eastAsia" w:ascii="仿宋_GB2312" w:hAnsi="仿宋_GB2312" w:eastAsia="仿宋_GB2312" w:cs="仿宋_GB2312"/>
                <w:kern w:val="0"/>
                <w:sz w:val="28"/>
                <w:szCs w:val="28"/>
                <w:lang w:val="en-US" w:eastAsia="zh-CN"/>
              </w:rPr>
              <w:t>正</w:t>
            </w:r>
            <w:r>
              <w:rPr>
                <w:rFonts w:hint="eastAsia" w:ascii="仿宋_GB2312" w:hAnsi="仿宋_GB2312" w:eastAsia="仿宋_GB2312" w:cs="仿宋_GB2312"/>
                <w:kern w:val="0"/>
                <w:sz w:val="28"/>
                <w:szCs w:val="28"/>
                <w:lang w:eastAsia="zh-CN"/>
              </w:rPr>
              <w:t>本份数：</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lang w:eastAsia="zh-CN"/>
              </w:rPr>
              <w:t>份。</w:t>
            </w:r>
          </w:p>
          <w:p>
            <w:pPr>
              <w:keepNext w:val="0"/>
              <w:keepLines w:val="0"/>
              <w:pageBreakBefore w:val="0"/>
              <w:tabs>
                <w:tab w:val="left" w:pos="5220"/>
                <w:tab w:val="left" w:pos="5400"/>
                <w:tab w:val="left" w:pos="5580"/>
              </w:tabs>
              <w:kinsoku/>
              <w:wordWrap/>
              <w:overflowPunct/>
              <w:topLinePunct w:val="0"/>
              <w:autoSpaceDE w:val="0"/>
              <w:autoSpaceDN w:val="0"/>
              <w:bidi w:val="0"/>
              <w:adjustRightInd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比选申请文件副本份数：</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lang w:eastAsia="zh-CN"/>
              </w:rPr>
              <w:t>份。</w:t>
            </w:r>
          </w:p>
          <w:p>
            <w:pPr>
              <w:keepNext w:val="0"/>
              <w:keepLines w:val="0"/>
              <w:pageBreakBefore w:val="0"/>
              <w:tabs>
                <w:tab w:val="left" w:pos="5220"/>
                <w:tab w:val="left" w:pos="5400"/>
                <w:tab w:val="left" w:pos="5580"/>
              </w:tabs>
              <w:kinsoku/>
              <w:wordWrap/>
              <w:overflowPunct/>
              <w:topLinePunct w:val="0"/>
              <w:autoSpaceDE w:val="0"/>
              <w:autoSpaceDN w:val="0"/>
              <w:bidi w:val="0"/>
              <w:adjustRightInd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是否要求提交电子版文件：否。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2</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装订的其他要求</w:t>
            </w:r>
          </w:p>
        </w:tc>
        <w:tc>
          <w:tcPr>
            <w:tcW w:w="6918" w:type="dxa"/>
            <w:noWrap w:val="0"/>
            <w:vAlign w:val="center"/>
          </w:tcPr>
          <w:p>
            <w:pPr>
              <w:pStyle w:val="11"/>
              <w:keepNext w:val="0"/>
              <w:keepLines w:val="0"/>
              <w:pageBreakBefore w:val="0"/>
              <w:kinsoku/>
              <w:wordWrap/>
              <w:overflowPunct/>
              <w:topLinePunct w:val="0"/>
              <w:bidi w:val="0"/>
              <w:snapToGrid/>
              <w:spacing w:after="0"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比选申请文件的正本、副本（副本</w:t>
            </w:r>
            <w:r>
              <w:rPr>
                <w:rFonts w:hint="eastAsia" w:ascii="仿宋_GB2312" w:hAnsi="仿宋_GB2312" w:eastAsia="仿宋_GB2312" w:cs="仿宋_GB2312"/>
                <w:kern w:val="0"/>
                <w:sz w:val="28"/>
                <w:szCs w:val="28"/>
                <w:lang w:val="en-US" w:eastAsia="zh-CN"/>
              </w:rPr>
              <w:t>可以</w:t>
            </w:r>
            <w:r>
              <w:rPr>
                <w:rFonts w:hint="eastAsia" w:ascii="仿宋_GB2312" w:hAnsi="仿宋_GB2312" w:eastAsia="仿宋_GB2312" w:cs="仿宋_GB2312"/>
                <w:kern w:val="0"/>
                <w:sz w:val="28"/>
                <w:szCs w:val="28"/>
                <w:lang w:eastAsia="zh-CN"/>
              </w:rPr>
              <w:t>是正本的复印件或影印件）应采用</w:t>
            </w:r>
            <w:r>
              <w:rPr>
                <w:rFonts w:hint="eastAsia" w:ascii="仿宋_GB2312" w:hAnsi="仿宋_GB2312" w:eastAsia="仿宋_GB2312" w:cs="仿宋_GB2312"/>
                <w:kern w:val="0"/>
                <w:sz w:val="28"/>
                <w:szCs w:val="28"/>
                <w:lang w:val="en-US" w:eastAsia="zh-CN"/>
              </w:rPr>
              <w:t>胶装</w:t>
            </w:r>
            <w:r>
              <w:rPr>
                <w:rFonts w:hint="eastAsia" w:ascii="仿宋_GB2312" w:hAnsi="仿宋_GB2312" w:eastAsia="仿宋_GB2312" w:cs="仿宋_GB2312"/>
                <w:kern w:val="0"/>
                <w:sz w:val="28"/>
                <w:szCs w:val="28"/>
                <w:lang w:eastAsia="zh-CN"/>
              </w:rPr>
              <w:t>方式分别装订成册，并标明“正本”、“副本”、不得采用活页夹等可随时拆换的方式装订，同时比选申请文件应编制目录且逐页标注连续编码，否则，</w:t>
            </w: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将对比选申请文件页数的丢失、散落或其它后果不承担任何责任。</w:t>
            </w: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3</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比选申请文件的密封</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（1）比选申请文件的正本、副本均应分别密封完好再统一密封包装(包装及密封形式不限)，封口处至少应加盖比选申请人单位</w:t>
            </w:r>
            <w:r>
              <w:rPr>
                <w:rFonts w:hint="eastAsia" w:ascii="仿宋_GB2312" w:hAnsi="仿宋_GB2312" w:eastAsia="仿宋_GB2312" w:cs="仿宋_GB2312"/>
                <w:kern w:val="0"/>
                <w:sz w:val="28"/>
                <w:szCs w:val="28"/>
                <w:lang w:val="en-US" w:eastAsia="zh-CN"/>
              </w:rPr>
              <w:t>公</w:t>
            </w:r>
            <w:r>
              <w:rPr>
                <w:rFonts w:hint="eastAsia" w:ascii="仿宋_GB2312" w:hAnsi="仿宋_GB2312" w:eastAsia="仿宋_GB2312" w:cs="仿宋_GB2312"/>
                <w:kern w:val="0"/>
                <w:sz w:val="28"/>
                <w:szCs w:val="28"/>
                <w:lang w:eastAsia="zh-CN"/>
              </w:rPr>
              <w:t>章；</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（2）若比选申请人比选申请文件因密封不严、标志不明而造成过早启封、失密等情况，</w:t>
            </w: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概不负责；</w:t>
            </w:r>
          </w:p>
          <w:p>
            <w:pPr>
              <w:pStyle w:val="11"/>
              <w:keepNext w:val="0"/>
              <w:keepLines w:val="0"/>
              <w:pageBreakBefore w:val="0"/>
              <w:kinsoku/>
              <w:wordWrap/>
              <w:overflowPunct/>
              <w:topLinePunct w:val="0"/>
              <w:bidi w:val="0"/>
              <w:snapToGrid/>
              <w:spacing w:after="0" w:line="440" w:lineRule="exact"/>
              <w:ind w:right="143" w:rightChars="71"/>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（3）外层封套上写明：</w:t>
            </w:r>
          </w:p>
          <w:p>
            <w:pPr>
              <w:pStyle w:val="11"/>
              <w:keepNext w:val="0"/>
              <w:keepLines w:val="0"/>
              <w:pageBreakBefore w:val="0"/>
              <w:kinsoku/>
              <w:wordWrap/>
              <w:overflowPunct/>
              <w:topLinePunct w:val="0"/>
              <w:bidi w:val="0"/>
              <w:snapToGrid/>
              <w:spacing w:after="0" w:line="440" w:lineRule="exact"/>
              <w:ind w:right="143" w:rightChars="71"/>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名称：</w:t>
            </w:r>
          </w:p>
          <w:p>
            <w:pPr>
              <w:pStyle w:val="11"/>
              <w:keepNext w:val="0"/>
              <w:keepLines w:val="0"/>
              <w:pageBreakBefore w:val="0"/>
              <w:kinsoku/>
              <w:wordWrap/>
              <w:overflowPunct/>
              <w:topLinePunct w:val="0"/>
              <w:bidi w:val="0"/>
              <w:snapToGrid/>
              <w:spacing w:after="0" w:line="440" w:lineRule="exact"/>
              <w:ind w:right="143" w:rightChars="71"/>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比选申请人名称：</w:t>
            </w:r>
          </w:p>
          <w:p>
            <w:pPr>
              <w:pStyle w:val="11"/>
              <w:keepNext w:val="0"/>
              <w:keepLines w:val="0"/>
              <w:pageBreakBefore w:val="0"/>
              <w:kinsoku/>
              <w:wordWrap/>
              <w:overflowPunct/>
              <w:topLinePunct w:val="0"/>
              <w:bidi w:val="0"/>
              <w:snapToGrid/>
              <w:spacing w:after="0" w:line="440" w:lineRule="exact"/>
              <w:ind w:right="143" w:rightChars="71"/>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比选申请文件</w:t>
            </w:r>
          </w:p>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在</w:t>
            </w: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年</w:t>
            </w: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日</w:t>
            </w: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时</w:t>
            </w:r>
            <w:r>
              <w:rPr>
                <w:rFonts w:hint="eastAsia" w:ascii="仿宋_GB2312" w:hAnsi="仿宋_GB2312" w:eastAsia="仿宋_GB2312" w:cs="仿宋_GB2312"/>
                <w:kern w:val="0"/>
                <w:sz w:val="28"/>
                <w:szCs w:val="28"/>
                <w:u w:val="single"/>
                <w:lang w:eastAsia="zh-CN"/>
              </w:rPr>
              <w:t xml:space="preserve">  </w:t>
            </w:r>
            <w:r>
              <w:rPr>
                <w:rFonts w:hint="eastAsia" w:ascii="仿宋_GB2312" w:hAnsi="仿宋_GB2312" w:eastAsia="仿宋_GB2312" w:cs="仿宋_GB2312"/>
                <w:kern w:val="0"/>
                <w:sz w:val="28"/>
                <w:szCs w:val="28"/>
                <w:lang w:eastAsia="zh-CN"/>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4</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是否退还比选申请文件</w:t>
            </w:r>
          </w:p>
        </w:tc>
        <w:tc>
          <w:tcPr>
            <w:tcW w:w="6918" w:type="dxa"/>
            <w:noWrap w:val="0"/>
            <w:vAlign w:val="center"/>
          </w:tcPr>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2" w:char="0052"/>
            </w:r>
            <w:r>
              <w:rPr>
                <w:rFonts w:hint="eastAsia" w:ascii="仿宋_GB2312" w:hAnsi="仿宋_GB2312" w:eastAsia="仿宋_GB2312" w:cs="仿宋_GB2312"/>
                <w:kern w:val="0"/>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5</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开标时间和地点</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比选申请文件递交截止同一时间、同一地点。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6</w:t>
            </w:r>
          </w:p>
        </w:tc>
        <w:tc>
          <w:tcPr>
            <w:tcW w:w="1873" w:type="dxa"/>
            <w:noWrap w:val="0"/>
            <w:vAlign w:val="center"/>
          </w:tcPr>
          <w:p>
            <w:pPr>
              <w:pStyle w:val="11"/>
              <w:keepNext w:val="0"/>
              <w:keepLines w:val="0"/>
              <w:pageBreakBefore w:val="0"/>
              <w:kinsoku/>
              <w:wordWrap/>
              <w:overflowPunct/>
              <w:topLinePunct w:val="0"/>
              <w:bidi w:val="0"/>
              <w:snapToGrid/>
              <w:spacing w:after="0"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开标程序</w:t>
            </w:r>
          </w:p>
        </w:tc>
        <w:tc>
          <w:tcPr>
            <w:tcW w:w="6918" w:type="dxa"/>
            <w:noWrap w:val="0"/>
            <w:vAlign w:val="center"/>
          </w:tcPr>
          <w:p>
            <w:pPr>
              <w:pStyle w:val="11"/>
              <w:keepNext w:val="0"/>
              <w:keepLines w:val="0"/>
              <w:pageBreakBefore w:val="0"/>
              <w:kinsoku/>
              <w:wordWrap/>
              <w:overflowPunct/>
              <w:topLinePunct w:val="0"/>
              <w:bidi w:val="0"/>
              <w:snapToGrid/>
              <w:spacing w:after="0"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（1）密封情况检查：由参会比选申请人的代表检查所递交的比选申请文件是否存在提前开启情况；</w:t>
            </w:r>
          </w:p>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（2）开标顺序：</w:t>
            </w:r>
            <w:r>
              <w:rPr>
                <w:rFonts w:hint="eastAsia" w:ascii="仿宋_GB2312" w:hAnsi="仿宋_GB2312" w:eastAsia="仿宋_GB2312" w:cs="仿宋_GB2312"/>
                <w:kern w:val="0"/>
                <w:sz w:val="28"/>
                <w:szCs w:val="28"/>
                <w:lang w:val="en-US" w:eastAsia="zh-CN"/>
              </w:rPr>
              <w:t>签到逆序</w:t>
            </w:r>
            <w:r>
              <w:rPr>
                <w:rFonts w:hint="eastAsia" w:ascii="仿宋_GB2312" w:hAnsi="仿宋_GB2312" w:eastAsia="仿宋_GB2312" w:cs="仿宋_GB2312"/>
                <w:kern w:val="0"/>
                <w:sz w:val="28"/>
                <w:szCs w:val="28"/>
                <w:lang w:eastAsia="zh-CN"/>
              </w:rPr>
              <w:t>，当比选申请人少于3个（不含3个）将不予开标，当场原封退还比选申请人。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2</w:t>
            </w:r>
            <w:r>
              <w:rPr>
                <w:rFonts w:hint="eastAsia" w:ascii="仿宋" w:hAnsi="仿宋" w:eastAsia="仿宋" w:cs="仿宋"/>
                <w:kern w:val="0"/>
                <w:sz w:val="28"/>
                <w:szCs w:val="28"/>
                <w:lang w:val="en-US" w:eastAsia="zh-CN"/>
              </w:rPr>
              <w:t>7</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推荐中标候选人的人数</w:t>
            </w:r>
          </w:p>
        </w:tc>
        <w:tc>
          <w:tcPr>
            <w:tcW w:w="6918" w:type="dxa"/>
            <w:noWrap w:val="0"/>
            <w:vAlign w:val="center"/>
          </w:tcPr>
          <w:p>
            <w:pPr>
              <w:pStyle w:val="25"/>
              <w:keepNext w:val="0"/>
              <w:keepLines w:val="0"/>
              <w:pageBreakBefore w:val="0"/>
              <w:kinsoku/>
              <w:wordWrap/>
              <w:overflowPunct/>
              <w:topLinePunct w:val="0"/>
              <w:bidi w:val="0"/>
              <w:snapToGrid/>
              <w:spacing w:after="0" w:line="440" w:lineRule="exact"/>
              <w:ind w:left="0" w:leftChars="0" w:firstLine="0" w:firstLineChars="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1～3人（若不足3人时取相应的数量）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28</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履约保证金</w:t>
            </w:r>
          </w:p>
        </w:tc>
        <w:tc>
          <w:tcPr>
            <w:tcW w:w="6918" w:type="dxa"/>
            <w:noWrap w:val="0"/>
            <w:vAlign w:val="center"/>
          </w:tcPr>
          <w:p>
            <w:pPr>
              <w:pStyle w:val="13"/>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sym w:font="Wingdings 2" w:char="F052"/>
            </w:r>
            <w:r>
              <w:rPr>
                <w:rFonts w:hint="eastAsia" w:ascii="仿宋_GB2312" w:hAnsi="仿宋_GB2312" w:eastAsia="仿宋_GB2312" w:cs="仿宋_GB2312"/>
                <w:kern w:val="0"/>
                <w:sz w:val="28"/>
                <w:szCs w:val="28"/>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ind w:left="-101" w:leftChars="-50" w:right="-101" w:rightChars="-50"/>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29</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签订合同</w:t>
            </w:r>
          </w:p>
        </w:tc>
        <w:tc>
          <w:tcPr>
            <w:tcW w:w="6918" w:type="dxa"/>
            <w:noWrap w:val="0"/>
            <w:vAlign w:val="top"/>
          </w:tcPr>
          <w:p>
            <w:pPr>
              <w:keepNext w:val="0"/>
              <w:keepLines w:val="0"/>
              <w:pageBreakBefore w:val="0"/>
              <w:kinsoku/>
              <w:wordWrap/>
              <w:overflowPunct/>
              <w:topLinePunct w:val="0"/>
              <w:bidi w:val="0"/>
              <w:snapToGrid/>
              <w:spacing w:line="44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本款细化为：</w:t>
            </w:r>
          </w:p>
          <w:p>
            <w:pPr>
              <w:keepNext w:val="0"/>
              <w:keepLines w:val="0"/>
              <w:pageBreakBefore w:val="0"/>
              <w:numPr>
                <w:ilvl w:val="-1"/>
                <w:numId w:val="0"/>
              </w:numPr>
              <w:kinsoku/>
              <w:wordWrap/>
              <w:overflowPunct/>
              <w:topLinePunct w:val="0"/>
              <w:bidi w:val="0"/>
              <w:snapToGrid/>
              <w:spacing w:line="44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lang w:eastAsia="zh-CN"/>
              </w:rPr>
              <w:t>）签约合同价：中标人的投标报价；</w:t>
            </w:r>
          </w:p>
          <w:p>
            <w:pPr>
              <w:pStyle w:val="13"/>
              <w:keepNext w:val="0"/>
              <w:keepLines w:val="0"/>
              <w:pageBreakBefore w:val="0"/>
              <w:kinsoku/>
              <w:wordWrap/>
              <w:overflowPunct/>
              <w:topLinePunct w:val="0"/>
              <w:bidi w:val="0"/>
              <w:snapToGrid/>
              <w:spacing w:line="440" w:lineRule="exact"/>
              <w:ind w:firstLine="0" w:firstLineChars="0"/>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2）比选人</w:t>
            </w:r>
            <w:r>
              <w:rPr>
                <w:rFonts w:hint="eastAsia" w:ascii="仿宋_GB2312" w:hAnsi="仿宋_GB2312" w:eastAsia="仿宋_GB2312" w:cs="仿宋_GB2312"/>
                <w:kern w:val="0"/>
                <w:sz w:val="28"/>
                <w:szCs w:val="28"/>
                <w:lang w:eastAsia="zh-CN"/>
              </w:rPr>
              <w:t>和中标人应当自中标通知书发出之日起30日内，按照</w:t>
            </w:r>
            <w:r>
              <w:rPr>
                <w:rFonts w:hint="eastAsia" w:ascii="仿宋_GB2312" w:hAnsi="仿宋_GB2312" w:eastAsia="仿宋_GB2312" w:cs="仿宋_GB2312"/>
                <w:kern w:val="0"/>
                <w:sz w:val="28"/>
                <w:szCs w:val="28"/>
                <w:lang w:val="en-US" w:eastAsia="zh-CN"/>
              </w:rPr>
              <w:t>比选文件</w:t>
            </w:r>
            <w:r>
              <w:rPr>
                <w:rFonts w:hint="eastAsia" w:ascii="仿宋_GB2312" w:hAnsi="仿宋_GB2312" w:eastAsia="仿宋_GB2312" w:cs="仿宋_GB2312"/>
                <w:kern w:val="0"/>
                <w:sz w:val="28"/>
                <w:szCs w:val="28"/>
                <w:lang w:eastAsia="zh-CN"/>
              </w:rPr>
              <w:t>和中标人的比选申请文件订立书面合同，合同的标的、价格、质量、安全、履行期限等主要条款应当与上述文件的内容一致。</w:t>
            </w: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和中标人不得再行订立背离合同实质性内容的其他协议；</w:t>
            </w:r>
          </w:p>
          <w:p>
            <w:pPr>
              <w:pStyle w:val="13"/>
              <w:keepNext w:val="0"/>
              <w:keepLines w:val="0"/>
              <w:pageBreakBefore w:val="0"/>
              <w:kinsoku/>
              <w:wordWrap/>
              <w:overflowPunct/>
              <w:topLinePunct w:val="0"/>
              <w:bidi w:val="0"/>
              <w:snapToGrid/>
              <w:spacing w:line="44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（3）中标人拒签合同的，</w:t>
            </w:r>
            <w:r>
              <w:rPr>
                <w:rFonts w:hint="eastAsia" w:ascii="仿宋_GB2312" w:hAnsi="仿宋_GB2312" w:eastAsia="仿宋_GB2312" w:cs="仿宋_GB2312"/>
                <w:kern w:val="0"/>
                <w:sz w:val="28"/>
                <w:szCs w:val="28"/>
                <w:lang w:val="en-US" w:eastAsia="zh-CN"/>
              </w:rPr>
              <w:t>比选人</w:t>
            </w:r>
            <w:r>
              <w:rPr>
                <w:rFonts w:hint="eastAsia" w:ascii="仿宋_GB2312" w:hAnsi="仿宋_GB2312" w:eastAsia="仿宋_GB2312" w:cs="仿宋_GB2312"/>
                <w:kern w:val="0"/>
                <w:sz w:val="28"/>
                <w:szCs w:val="28"/>
                <w:lang w:eastAsia="zh-CN"/>
              </w:rPr>
              <w:t>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ind w:left="-101" w:leftChars="-50" w:right="-101" w:rightChars="-50"/>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30</w:t>
            </w:r>
          </w:p>
        </w:tc>
        <w:tc>
          <w:tcPr>
            <w:tcW w:w="1873" w:type="dxa"/>
            <w:noWrap w:val="0"/>
            <w:vAlign w:val="center"/>
          </w:tcPr>
          <w:p>
            <w:pPr>
              <w:pStyle w:val="13"/>
              <w:keepNext w:val="0"/>
              <w:keepLines w:val="0"/>
              <w:pageBreakBefore w:val="0"/>
              <w:kinsoku/>
              <w:wordWrap/>
              <w:overflowPunct/>
              <w:topLinePunct w:val="0"/>
              <w:bidi w:val="0"/>
              <w:snapToGrid/>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代理服务费</w:t>
            </w:r>
          </w:p>
        </w:tc>
        <w:tc>
          <w:tcPr>
            <w:tcW w:w="6918" w:type="dxa"/>
            <w:noWrap w:val="0"/>
            <w:vAlign w:val="top"/>
          </w:tcPr>
          <w:p>
            <w:pPr>
              <w:pStyle w:val="13"/>
              <w:keepNext w:val="0"/>
              <w:keepLines w:val="0"/>
              <w:pageBreakBefore w:val="0"/>
              <w:kinsoku/>
              <w:wordWrap/>
              <w:overflowPunct/>
              <w:topLinePunct w:val="0"/>
              <w:bidi w:val="0"/>
              <w:snapToGrid/>
              <w:spacing w:line="44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noWrap w:val="0"/>
            <w:vAlign w:val="center"/>
          </w:tcPr>
          <w:p>
            <w:pPr>
              <w:pStyle w:val="13"/>
              <w:keepNext w:val="0"/>
              <w:keepLines w:val="0"/>
              <w:pageBreakBefore w:val="0"/>
              <w:kinsoku/>
              <w:wordWrap/>
              <w:overflowPunct/>
              <w:topLinePunct w:val="0"/>
              <w:bidi w:val="0"/>
              <w:snapToGrid/>
              <w:spacing w:line="440" w:lineRule="exact"/>
              <w:ind w:left="-101" w:leftChars="-50" w:right="-101" w:rightChars="-50"/>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w:t>
            </w:r>
          </w:p>
        </w:tc>
        <w:tc>
          <w:tcPr>
            <w:tcW w:w="1873" w:type="dxa"/>
            <w:noWrap w:val="0"/>
            <w:vAlign w:val="center"/>
          </w:tcPr>
          <w:p>
            <w:pPr>
              <w:pStyle w:val="53"/>
              <w:keepNext w:val="0"/>
              <w:keepLines w:val="0"/>
              <w:pageBreakBefore w:val="0"/>
              <w:kinsoku/>
              <w:wordWrap/>
              <w:overflowPunct/>
              <w:topLinePunct w:val="0"/>
              <w:bidi w:val="0"/>
              <w:snapToGrid/>
              <w:spacing w:line="440" w:lineRule="exact"/>
              <w:ind w:left="0" w:leftChars="0" w:firstLine="0" w:firstLineChars="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kern w:val="0"/>
                <w:sz w:val="28"/>
                <w:szCs w:val="28"/>
                <w:lang w:val="zh-CN" w:eastAsia="zh-CN" w:bidi="ar-SA"/>
              </w:rPr>
              <w:t>备注</w:t>
            </w:r>
          </w:p>
        </w:tc>
        <w:tc>
          <w:tcPr>
            <w:tcW w:w="6918" w:type="dxa"/>
            <w:noWrap w:val="0"/>
            <w:vAlign w:val="center"/>
          </w:tcPr>
          <w:p>
            <w:pPr>
              <w:pStyle w:val="53"/>
              <w:keepNext w:val="0"/>
              <w:keepLines w:val="0"/>
              <w:pageBreakBefore w:val="0"/>
              <w:kinsoku/>
              <w:wordWrap/>
              <w:overflowPunct/>
              <w:topLinePunct w:val="0"/>
              <w:bidi w:val="0"/>
              <w:snapToGrid/>
              <w:spacing w:line="440" w:lineRule="exact"/>
              <w:ind w:left="0" w:leftChars="0" w:right="101" w:rightChars="50" w:firstLine="0" w:firstLineChars="0"/>
              <w:jc w:val="both"/>
              <w:rPr>
                <w:rFonts w:hint="eastAsia" w:ascii="仿宋_GB2312" w:hAnsi="仿宋_GB2312" w:eastAsia="仿宋_GB2312" w:cs="仿宋_GB2312"/>
                <w:color w:val="auto"/>
                <w:kern w:val="2"/>
                <w:sz w:val="28"/>
                <w:szCs w:val="28"/>
                <w:lang w:val="zh-CN" w:eastAsia="zh-CN" w:bidi="ar-SA"/>
              </w:rPr>
            </w:pPr>
            <w:r>
              <w:rPr>
                <w:rFonts w:hint="eastAsia" w:ascii="仿宋_GB2312" w:hAnsi="仿宋_GB2312" w:eastAsia="仿宋_GB2312" w:cs="仿宋_GB2312"/>
                <w:kern w:val="0"/>
                <w:sz w:val="28"/>
                <w:szCs w:val="28"/>
                <w:lang w:val="en-US" w:eastAsia="zh-CN" w:bidi="ar-SA"/>
              </w:rPr>
              <w:t>若比选文件中其他内容与比选须知表内容不一致的，以比选须知表为准。</w:t>
            </w:r>
          </w:p>
        </w:tc>
      </w:tr>
    </w:tbl>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黑体" w:hAnsi="黑体" w:eastAsia="黑体" w:cs="黑体"/>
          <w:b w:val="0"/>
          <w:bCs w:val="0"/>
          <w:kern w:val="0"/>
          <w:sz w:val="32"/>
          <w:szCs w:val="32"/>
          <w:lang w:eastAsia="zh-Hans"/>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br w:type="page"/>
      </w:r>
    </w:p>
    <w:p>
      <w:pPr>
        <w:pStyle w:val="13"/>
        <w:numPr>
          <w:ilvl w:val="0"/>
          <w:numId w:val="0"/>
        </w:numPr>
        <w:spacing w:line="560" w:lineRule="exact"/>
        <w:ind w:left="0" w:leftChars="0" w:firstLine="0" w:firstLineChars="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b w:val="0"/>
          <w:bCs w:val="0"/>
          <w:sz w:val="44"/>
          <w:szCs w:val="44"/>
          <w:lang w:eastAsia="zh-Hans"/>
        </w:rPr>
        <w:t xml:space="preserve">第三章  </w:t>
      </w:r>
      <w:r>
        <w:rPr>
          <w:rFonts w:hint="eastAsia" w:ascii="方正小标宋简体" w:hAnsi="宋体" w:eastAsia="方正小标宋简体"/>
          <w:sz w:val="44"/>
          <w:szCs w:val="44"/>
        </w:rPr>
        <w:t>评标办法</w:t>
      </w:r>
      <w:bookmarkStart w:id="7" w:name="_bookmark125"/>
      <w:bookmarkEnd w:id="7"/>
    </w:p>
    <w:tbl>
      <w:tblPr>
        <w:tblStyle w:val="26"/>
        <w:tblW w:w="10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025"/>
        <w:gridCol w:w="7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14" w:type="dxa"/>
            <w:shd w:val="clear" w:color="auto" w:fill="D5DCE4"/>
            <w:vAlign w:val="center"/>
          </w:tcPr>
          <w:p>
            <w:pPr>
              <w:pStyle w:val="24"/>
              <w:keepNext w:val="0"/>
              <w:keepLines w:val="0"/>
              <w:pageBreakBefore w:val="0"/>
              <w:widowControl w:val="0"/>
              <w:kinsoku/>
              <w:wordWrap/>
              <w:overflowPunct/>
              <w:topLinePunct w:val="0"/>
              <w:bidi w:val="0"/>
              <w:snapToGrid/>
              <w:spacing w:line="360" w:lineRule="exact"/>
              <w:ind w:firstLine="0"/>
              <w:jc w:val="center"/>
              <w:textAlignment w:val="auto"/>
              <w:rPr>
                <w:rFonts w:hint="eastAsia" w:ascii="仿宋" w:hAnsi="仿宋" w:eastAsia="仿宋" w:cs="仿宋"/>
                <w:b/>
                <w:bCs/>
                <w:sz w:val="24"/>
                <w:szCs w:val="24"/>
                <w:lang w:eastAsia="zh-Hans"/>
              </w:rPr>
            </w:pPr>
            <w:r>
              <w:rPr>
                <w:rFonts w:hint="eastAsia" w:ascii="仿宋" w:hAnsi="仿宋" w:eastAsia="仿宋" w:cs="仿宋"/>
                <w:b/>
                <w:bCs/>
                <w:sz w:val="24"/>
                <w:szCs w:val="24"/>
                <w:lang w:eastAsia="zh-Hans"/>
              </w:rPr>
              <w:t>序号</w:t>
            </w:r>
          </w:p>
        </w:tc>
        <w:tc>
          <w:tcPr>
            <w:tcW w:w="2025" w:type="dxa"/>
            <w:shd w:val="clear" w:color="auto" w:fill="D5DCE4"/>
            <w:vAlign w:val="center"/>
          </w:tcPr>
          <w:p>
            <w:pPr>
              <w:pStyle w:val="24"/>
              <w:keepNext w:val="0"/>
              <w:keepLines w:val="0"/>
              <w:pageBreakBefore w:val="0"/>
              <w:widowControl w:val="0"/>
              <w:kinsoku/>
              <w:wordWrap/>
              <w:overflowPunct/>
              <w:topLinePunct w:val="0"/>
              <w:bidi w:val="0"/>
              <w:snapToGrid/>
              <w:spacing w:line="360" w:lineRule="exact"/>
              <w:ind w:firstLine="0"/>
              <w:jc w:val="center"/>
              <w:textAlignment w:val="auto"/>
              <w:rPr>
                <w:rFonts w:hint="eastAsia" w:ascii="仿宋" w:hAnsi="仿宋" w:eastAsia="仿宋" w:cs="仿宋"/>
                <w:b/>
                <w:bCs/>
                <w:sz w:val="24"/>
                <w:szCs w:val="24"/>
                <w:lang w:eastAsia="zh-Hans"/>
              </w:rPr>
            </w:pPr>
            <w:r>
              <w:rPr>
                <w:rFonts w:hint="eastAsia" w:ascii="仿宋" w:hAnsi="仿宋" w:eastAsia="仿宋" w:cs="仿宋"/>
                <w:b/>
                <w:bCs/>
                <w:sz w:val="24"/>
                <w:szCs w:val="24"/>
                <w:lang w:eastAsia="zh-Hans"/>
              </w:rPr>
              <w:t>内容</w:t>
            </w:r>
          </w:p>
        </w:tc>
        <w:tc>
          <w:tcPr>
            <w:tcW w:w="7283" w:type="dxa"/>
            <w:shd w:val="clear" w:color="auto" w:fill="D5DCE4"/>
            <w:vAlign w:val="center"/>
          </w:tcPr>
          <w:p>
            <w:pPr>
              <w:pStyle w:val="24"/>
              <w:keepNext w:val="0"/>
              <w:keepLines w:val="0"/>
              <w:pageBreakBefore w:val="0"/>
              <w:widowControl w:val="0"/>
              <w:kinsoku/>
              <w:wordWrap/>
              <w:overflowPunct/>
              <w:topLinePunct w:val="0"/>
              <w:bidi w:val="0"/>
              <w:snapToGrid/>
              <w:spacing w:line="360" w:lineRule="exact"/>
              <w:ind w:firstLine="0"/>
              <w:jc w:val="center"/>
              <w:textAlignment w:val="auto"/>
              <w:rPr>
                <w:rFonts w:hint="eastAsia" w:ascii="仿宋" w:hAnsi="仿宋" w:eastAsia="仿宋" w:cs="仿宋"/>
                <w:b/>
                <w:bCs/>
                <w:sz w:val="24"/>
                <w:szCs w:val="24"/>
                <w:lang w:eastAsia="zh-Hans"/>
              </w:rPr>
            </w:pPr>
            <w:r>
              <w:rPr>
                <w:rFonts w:hint="eastAsia" w:ascii="仿宋" w:hAnsi="仿宋" w:eastAsia="仿宋" w:cs="仿宋"/>
                <w:b/>
                <w:bCs/>
                <w:sz w:val="24"/>
                <w:szCs w:val="24"/>
                <w:lang w:eastAsia="zh-Han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rPr>
            </w:pPr>
            <w:r>
              <w:rPr>
                <w:rFonts w:hint="eastAsia" w:ascii="仿宋" w:hAnsi="仿宋" w:eastAsia="仿宋" w:cs="仿宋"/>
                <w:kern w:val="40"/>
                <w:sz w:val="24"/>
                <w:szCs w:val="24"/>
              </w:rPr>
              <w:t>1</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报价</w:t>
            </w:r>
          </w:p>
          <w:p>
            <w:pPr>
              <w:pStyle w:val="11"/>
              <w:keepNext w:val="0"/>
              <w:keepLines w:val="0"/>
              <w:pageBreakBefore w:val="0"/>
              <w:widowControl w:val="0"/>
              <w:kinsoku/>
              <w:wordWrap/>
              <w:overflowPunct/>
              <w:topLinePunct w:val="0"/>
              <w:bidi w:val="0"/>
              <w:snapToGrid/>
              <w:spacing w:after="0" w:line="360" w:lineRule="exact"/>
              <w:jc w:val="center"/>
              <w:textAlignment w:val="auto"/>
              <w:rPr>
                <w:rFonts w:hint="eastAsia" w:ascii="仿宋" w:hAnsi="仿宋" w:eastAsia="仿宋" w:cs="仿宋"/>
                <w:sz w:val="24"/>
                <w:szCs w:val="24"/>
                <w:lang w:eastAsia="zh-Hans"/>
              </w:rPr>
            </w:pPr>
            <w:r>
              <w:rPr>
                <w:rFonts w:hint="eastAsia" w:ascii="仿宋" w:hAnsi="仿宋" w:eastAsia="仿宋" w:cs="仿宋"/>
                <w:color w:val="000000" w:themeColor="text1"/>
                <w:kern w:val="0"/>
                <w:sz w:val="24"/>
                <w:szCs w:val="24"/>
                <w:highlight w:val="none"/>
                <w14:textFill>
                  <w14:solidFill>
                    <w14:schemeClr w14:val="tx1"/>
                  </w14:solidFill>
                </w14:textFill>
              </w:rPr>
              <w:t>（10分）</w:t>
            </w:r>
          </w:p>
        </w:tc>
        <w:tc>
          <w:tcPr>
            <w:tcW w:w="7283" w:type="dxa"/>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采用有效报价（经初步评审合格且不低于成本的</w:t>
            </w:r>
            <w:r>
              <w:rPr>
                <w:rFonts w:hint="eastAsia" w:ascii="仿宋" w:hAnsi="仿宋" w:eastAsia="仿宋" w:cs="仿宋"/>
                <w:sz w:val="24"/>
                <w:szCs w:val="24"/>
                <w:lang w:val="en-US" w:eastAsia="zh-CN"/>
              </w:rPr>
              <w:t>参选</w:t>
            </w:r>
            <w:r>
              <w:rPr>
                <w:rFonts w:hint="eastAsia" w:ascii="仿宋" w:hAnsi="仿宋" w:eastAsia="仿宋" w:cs="仿宋"/>
                <w:sz w:val="24"/>
                <w:szCs w:val="24"/>
                <w:lang w:eastAsia="zh-CN"/>
              </w:rPr>
              <w:t>报价）的算术平均值为评</w:t>
            </w:r>
            <w:r>
              <w:rPr>
                <w:rFonts w:hint="eastAsia" w:ascii="仿宋" w:hAnsi="仿宋" w:eastAsia="仿宋" w:cs="仿宋"/>
                <w:sz w:val="24"/>
                <w:szCs w:val="24"/>
                <w:lang w:val="en-US" w:eastAsia="zh-CN"/>
              </w:rPr>
              <w:t>审</w:t>
            </w:r>
            <w:r>
              <w:rPr>
                <w:rFonts w:hint="eastAsia" w:ascii="仿宋" w:hAnsi="仿宋" w:eastAsia="仿宋" w:cs="仿宋"/>
                <w:sz w:val="24"/>
                <w:szCs w:val="24"/>
                <w:lang w:eastAsia="zh-CN"/>
              </w:rPr>
              <w:t>基准价，计算公式为：</w:t>
            </w:r>
          </w:p>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S（评</w:t>
            </w:r>
            <w:r>
              <w:rPr>
                <w:rFonts w:hint="eastAsia" w:ascii="仿宋" w:hAnsi="仿宋" w:eastAsia="仿宋" w:cs="仿宋"/>
                <w:sz w:val="24"/>
                <w:szCs w:val="24"/>
                <w:lang w:val="en-US" w:eastAsia="zh-CN"/>
              </w:rPr>
              <w:t>审</w:t>
            </w:r>
            <w:r>
              <w:rPr>
                <w:rFonts w:hint="eastAsia" w:ascii="仿宋" w:hAnsi="仿宋" w:eastAsia="仿宋" w:cs="仿宋"/>
                <w:sz w:val="24"/>
                <w:szCs w:val="24"/>
                <w:lang w:eastAsia="zh-CN"/>
              </w:rPr>
              <w:t>基准价）= （a1 +……+an）/n，a为有效的</w:t>
            </w:r>
            <w:r>
              <w:rPr>
                <w:rFonts w:hint="eastAsia" w:ascii="仿宋" w:hAnsi="仿宋" w:eastAsia="仿宋" w:cs="仿宋"/>
                <w:sz w:val="24"/>
                <w:szCs w:val="24"/>
                <w:lang w:val="en-US" w:eastAsia="zh-CN"/>
              </w:rPr>
              <w:t>参选</w:t>
            </w:r>
            <w:r>
              <w:rPr>
                <w:rFonts w:hint="eastAsia" w:ascii="仿宋" w:hAnsi="仿宋" w:eastAsia="仿宋" w:cs="仿宋"/>
                <w:sz w:val="24"/>
                <w:szCs w:val="24"/>
                <w:lang w:eastAsia="zh-CN"/>
              </w:rPr>
              <w:t>报价。</w:t>
            </w:r>
          </w:p>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以基准价为准，有效</w:t>
            </w:r>
            <w:r>
              <w:rPr>
                <w:rFonts w:hint="eastAsia" w:ascii="仿宋" w:hAnsi="仿宋" w:eastAsia="仿宋" w:cs="仿宋"/>
                <w:sz w:val="24"/>
                <w:szCs w:val="24"/>
                <w:lang w:val="en-US" w:eastAsia="zh-CN"/>
              </w:rPr>
              <w:t>参选</w:t>
            </w:r>
            <w:r>
              <w:rPr>
                <w:rFonts w:hint="eastAsia" w:ascii="仿宋" w:hAnsi="仿宋" w:eastAsia="仿宋" w:cs="仿宋"/>
                <w:sz w:val="24"/>
                <w:szCs w:val="24"/>
                <w:lang w:eastAsia="zh-CN"/>
              </w:rPr>
              <w:t>的评审价等于基准价的得满分</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0分，有效</w:t>
            </w:r>
            <w:r>
              <w:rPr>
                <w:rFonts w:hint="eastAsia" w:ascii="仿宋" w:hAnsi="仿宋" w:eastAsia="仿宋" w:cs="仿宋"/>
                <w:sz w:val="24"/>
                <w:szCs w:val="24"/>
                <w:lang w:val="en-US" w:eastAsia="zh-CN"/>
              </w:rPr>
              <w:t>参选</w:t>
            </w:r>
            <w:r>
              <w:rPr>
                <w:rFonts w:hint="eastAsia" w:ascii="仿宋" w:hAnsi="仿宋" w:eastAsia="仿宋" w:cs="仿宋"/>
                <w:sz w:val="24"/>
                <w:szCs w:val="24"/>
                <w:lang w:eastAsia="zh-CN"/>
              </w:rPr>
              <w:t>的评审价低于基准价的，每低1%扣0.</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分，有效</w:t>
            </w:r>
            <w:r>
              <w:rPr>
                <w:rFonts w:hint="eastAsia" w:ascii="仿宋" w:hAnsi="仿宋" w:eastAsia="仿宋" w:cs="仿宋"/>
                <w:sz w:val="24"/>
                <w:szCs w:val="24"/>
                <w:lang w:val="en-US" w:eastAsia="zh-CN"/>
              </w:rPr>
              <w:t>参选</w:t>
            </w:r>
            <w:r>
              <w:rPr>
                <w:rFonts w:hint="eastAsia" w:ascii="仿宋" w:hAnsi="仿宋" w:eastAsia="仿宋" w:cs="仿宋"/>
                <w:sz w:val="24"/>
                <w:szCs w:val="24"/>
                <w:lang w:eastAsia="zh-CN"/>
              </w:rPr>
              <w:t>的评审价高于基准价的，每高1%扣</w:t>
            </w:r>
            <w:r>
              <w:rPr>
                <w:rFonts w:hint="eastAsia" w:ascii="仿宋" w:hAnsi="仿宋" w:eastAsia="仿宋" w:cs="仿宋"/>
                <w:sz w:val="24"/>
                <w:szCs w:val="24"/>
                <w:lang w:val="en-US" w:eastAsia="zh-CN"/>
              </w:rPr>
              <w:t>0.5</w:t>
            </w:r>
            <w:r>
              <w:rPr>
                <w:rFonts w:hint="eastAsia" w:ascii="仿宋" w:hAnsi="仿宋" w:eastAsia="仿宋" w:cs="仿宋"/>
                <w:sz w:val="24"/>
                <w:szCs w:val="24"/>
                <w:lang w:eastAsia="zh-CN"/>
              </w:rPr>
              <w:t>分，中间值用插入法进行计算，小数点后保留两位。</w:t>
            </w:r>
          </w:p>
          <w:p>
            <w:pPr>
              <w:keepNext w:val="0"/>
              <w:keepLines w:val="0"/>
              <w:pageBreakBefore w:val="0"/>
              <w:widowControl w:val="0"/>
              <w:kinsoku/>
              <w:wordWrap/>
              <w:overflowPunct/>
              <w:topLinePunct w:val="0"/>
              <w:bidi w:val="0"/>
              <w:adjustRightInd w:val="0"/>
              <w:snapToGrid/>
              <w:spacing w:line="36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偏差率=100% ×︱申请人报价-评标基准价︱/评标基准价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lang w:val="en-US" w:eastAsia="zh-CN"/>
              </w:rPr>
            </w:pPr>
            <w:r>
              <w:rPr>
                <w:rFonts w:hint="eastAsia" w:ascii="仿宋" w:hAnsi="仿宋" w:eastAsia="仿宋" w:cs="仿宋"/>
                <w:kern w:val="40"/>
                <w:sz w:val="24"/>
                <w:szCs w:val="24"/>
                <w:lang w:val="en-US" w:eastAsia="zh-CN"/>
              </w:rPr>
              <w:t>2</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sz w:val="24"/>
                <w:szCs w:val="24"/>
                <w:lang w:eastAsia="zh-Hans"/>
              </w:rPr>
            </w:pPr>
            <w:r>
              <w:rPr>
                <w:rFonts w:hint="eastAsia" w:ascii="仿宋" w:hAnsi="仿宋" w:eastAsia="仿宋" w:cs="仿宋"/>
                <w:sz w:val="24"/>
                <w:szCs w:val="24"/>
                <w:lang w:eastAsia="zh-Hans"/>
              </w:rPr>
              <w:t>满足第一章“</w:t>
            </w:r>
            <w:r>
              <w:rPr>
                <w:rFonts w:hint="eastAsia" w:ascii="仿宋" w:hAnsi="仿宋" w:eastAsia="仿宋" w:cs="仿宋"/>
                <w:sz w:val="24"/>
                <w:szCs w:val="24"/>
                <w:lang w:eastAsia="zh-CN"/>
              </w:rPr>
              <w:t>比选函</w:t>
            </w:r>
            <w:r>
              <w:rPr>
                <w:rFonts w:hint="eastAsia" w:ascii="仿宋" w:hAnsi="仿宋" w:eastAsia="仿宋" w:cs="仿宋"/>
                <w:sz w:val="24"/>
                <w:szCs w:val="24"/>
                <w:lang w:eastAsia="zh-Hans"/>
              </w:rPr>
              <w:t>”“</w:t>
            </w:r>
            <w:r>
              <w:rPr>
                <w:rFonts w:hint="eastAsia" w:ascii="仿宋" w:hAnsi="仿宋" w:eastAsia="仿宋" w:cs="仿宋"/>
                <w:sz w:val="24"/>
                <w:szCs w:val="24"/>
                <w:lang w:eastAsia="zh-CN"/>
              </w:rPr>
              <w:t>比选申请人</w:t>
            </w:r>
            <w:r>
              <w:rPr>
                <w:rFonts w:hint="eastAsia" w:ascii="仿宋" w:hAnsi="仿宋" w:eastAsia="仿宋" w:cs="仿宋"/>
                <w:sz w:val="24"/>
                <w:szCs w:val="24"/>
                <w:lang w:eastAsia="zh-Hans"/>
              </w:rPr>
              <w:t>资格要求”</w:t>
            </w:r>
          </w:p>
          <w:p>
            <w:pPr>
              <w:pStyle w:val="11"/>
              <w:keepNext w:val="0"/>
              <w:keepLines w:val="0"/>
              <w:pageBreakBefore w:val="0"/>
              <w:widowControl w:val="0"/>
              <w:kinsoku/>
              <w:wordWrap/>
              <w:overflowPunct/>
              <w:topLinePunct w:val="0"/>
              <w:bidi w:val="0"/>
              <w:snapToGrid/>
              <w:spacing w:after="0" w:line="360" w:lineRule="exact"/>
              <w:jc w:val="center"/>
              <w:textAlignment w:val="auto"/>
              <w:rPr>
                <w:rFonts w:hint="eastAsia" w:ascii="仿宋" w:hAnsi="仿宋" w:eastAsia="仿宋" w:cs="仿宋"/>
                <w:kern w:val="2"/>
                <w:sz w:val="24"/>
                <w:szCs w:val="24"/>
                <w:lang w:val="en-US" w:eastAsia="zh-Hans" w:bidi="ar-SA"/>
              </w:rPr>
            </w:pPr>
            <w:r>
              <w:rPr>
                <w:rFonts w:hint="eastAsia" w:ascii="仿宋" w:hAnsi="仿宋" w:eastAsia="仿宋" w:cs="仿宋"/>
                <w:kern w:val="40"/>
                <w:sz w:val="24"/>
                <w:szCs w:val="24"/>
                <w:lang w:eastAsia="zh-Hans"/>
              </w:rPr>
              <w:t>（5分）</w:t>
            </w:r>
          </w:p>
        </w:tc>
        <w:tc>
          <w:tcPr>
            <w:tcW w:w="7283" w:type="dxa"/>
            <w:vAlign w:val="center"/>
          </w:tcPr>
          <w:p>
            <w:pPr>
              <w:keepNext w:val="0"/>
              <w:keepLines w:val="0"/>
              <w:pageBreakBefore w:val="0"/>
              <w:widowControl w:val="0"/>
              <w:kinsoku/>
              <w:wordWrap/>
              <w:overflowPunct/>
              <w:topLinePunct w:val="0"/>
              <w:bidi w:val="0"/>
              <w:adjustRightInd w:val="0"/>
              <w:snapToGrid/>
              <w:spacing w:line="36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全部满足</w:t>
            </w:r>
            <w:r>
              <w:rPr>
                <w:rFonts w:hint="eastAsia" w:ascii="仿宋" w:hAnsi="仿宋" w:eastAsia="仿宋" w:cs="仿宋"/>
                <w:sz w:val="24"/>
                <w:szCs w:val="24"/>
                <w:lang w:eastAsia="zh-Hans"/>
              </w:rPr>
              <w:t>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lang w:eastAsia="zh-CN"/>
              </w:rPr>
            </w:pPr>
            <w:r>
              <w:rPr>
                <w:rFonts w:hint="eastAsia" w:ascii="仿宋" w:hAnsi="仿宋" w:eastAsia="仿宋" w:cs="仿宋"/>
                <w:kern w:val="40"/>
                <w:sz w:val="24"/>
                <w:szCs w:val="24"/>
                <w:lang w:val="en-US" w:eastAsia="zh-CN"/>
              </w:rPr>
              <w:t>3</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项目实施团队资质</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rPr>
            </w:pPr>
            <w:r>
              <w:rPr>
                <w:rFonts w:hint="eastAsia" w:ascii="仿宋" w:hAnsi="仿宋" w:eastAsia="仿宋" w:cs="仿宋"/>
                <w:sz w:val="24"/>
                <w:szCs w:val="24"/>
                <w:lang w:eastAsia="zh-Hans"/>
              </w:rPr>
              <w:t>（2</w:t>
            </w:r>
            <w:r>
              <w:rPr>
                <w:rFonts w:hint="eastAsia" w:ascii="仿宋" w:hAnsi="仿宋" w:eastAsia="仿宋" w:cs="仿宋"/>
                <w:sz w:val="24"/>
                <w:szCs w:val="24"/>
                <w:lang w:val="en-US" w:eastAsia="zh-CN"/>
              </w:rPr>
              <w:t>0</w:t>
            </w:r>
            <w:r>
              <w:rPr>
                <w:rFonts w:hint="eastAsia" w:ascii="仿宋" w:hAnsi="仿宋" w:eastAsia="仿宋" w:cs="仿宋"/>
                <w:sz w:val="24"/>
                <w:szCs w:val="24"/>
                <w:lang w:eastAsia="zh-Hans"/>
              </w:rPr>
              <w:t>分）</w:t>
            </w:r>
          </w:p>
        </w:tc>
        <w:tc>
          <w:tcPr>
            <w:tcW w:w="7283" w:type="dxa"/>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eastAsia="zh-Hans"/>
              </w:rPr>
            </w:pPr>
            <w:r>
              <w:rPr>
                <w:rFonts w:hint="eastAsia" w:ascii="仿宋" w:hAnsi="仿宋" w:eastAsia="仿宋" w:cs="仿宋"/>
                <w:sz w:val="24"/>
                <w:szCs w:val="24"/>
                <w:lang w:eastAsia="zh-Hans"/>
              </w:rPr>
              <w:t>1.本项目负责人成功完成过类似咨询项目，并作为该项目负责人的，1个项目得5分，最高不超过10分。</w:t>
            </w:r>
          </w:p>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Hans"/>
              </w:rPr>
              <w:t>2.本项目主要技术人员参与过类似咨询项目，1个项目得5分，同1人参加多个项目的，每个项目按5分计，最高不超过10分。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仿宋" w:hAnsi="仿宋" w:eastAsia="仿宋" w:cs="仿宋"/>
                <w:kern w:val="40"/>
                <w:sz w:val="24"/>
                <w:szCs w:val="24"/>
                <w:lang w:val="en-US" w:eastAsia="zh-CN"/>
              </w:rPr>
            </w:pPr>
            <w:r>
              <w:rPr>
                <w:rFonts w:hint="eastAsia" w:ascii="仿宋" w:hAnsi="仿宋" w:eastAsia="仿宋" w:cs="仿宋"/>
                <w:kern w:val="40"/>
                <w:sz w:val="24"/>
                <w:szCs w:val="24"/>
                <w:lang w:val="en-US" w:eastAsia="zh-CN"/>
              </w:rPr>
              <w:t>4</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业绩成果（10）分</w:t>
            </w:r>
          </w:p>
        </w:tc>
        <w:tc>
          <w:tcPr>
            <w:tcW w:w="7283" w:type="dxa"/>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比选申请人自</w:t>
            </w:r>
            <w:r>
              <w:rPr>
                <w:rFonts w:hint="eastAsia" w:ascii="仿宋" w:hAnsi="仿宋" w:eastAsia="仿宋" w:cs="仿宋"/>
                <w:sz w:val="24"/>
                <w:szCs w:val="24"/>
                <w:lang w:val="en-US" w:eastAsia="zh-CN"/>
              </w:rPr>
              <w:t>2020</w:t>
            </w:r>
            <w:r>
              <w:rPr>
                <w:rFonts w:hint="eastAsia" w:ascii="仿宋" w:hAnsi="仿宋" w:eastAsia="仿宋" w:cs="仿宋"/>
                <w:sz w:val="24"/>
                <w:szCs w:val="24"/>
                <w:lang w:val="en-US" w:eastAsia="zh-Hans"/>
              </w:rPr>
              <w:t>年以来，提供过类似咨询项目的成功案例个数，1个得5分，最高不超过10分。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lang w:eastAsia="zh-CN"/>
              </w:rPr>
            </w:pPr>
            <w:r>
              <w:rPr>
                <w:rFonts w:hint="eastAsia" w:ascii="仿宋" w:hAnsi="仿宋" w:eastAsia="仿宋" w:cs="仿宋"/>
                <w:kern w:val="40"/>
                <w:sz w:val="24"/>
                <w:szCs w:val="24"/>
                <w:lang w:val="en-US" w:eastAsia="zh-CN"/>
              </w:rPr>
              <w:t>5</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FF0000"/>
                <w:sz w:val="24"/>
                <w:szCs w:val="24"/>
                <w:highlight w:val="none"/>
              </w:rPr>
            </w:pPr>
            <w:r>
              <w:rPr>
                <w:rFonts w:hint="eastAsia" w:ascii="仿宋" w:hAnsi="仿宋" w:eastAsia="仿宋" w:cs="仿宋"/>
                <w:sz w:val="24"/>
                <w:szCs w:val="24"/>
                <w:highlight w:val="none"/>
                <w:lang w:val="en-US" w:eastAsia="zh-CN"/>
              </w:rPr>
              <w:t>服务质量</w:t>
            </w:r>
            <w:r>
              <w:rPr>
                <w:rFonts w:hint="eastAsia" w:ascii="仿宋" w:hAnsi="仿宋" w:eastAsia="仿宋" w:cs="仿宋"/>
                <w:sz w:val="24"/>
                <w:szCs w:val="24"/>
                <w:highlight w:val="none"/>
                <w:lang w:eastAsia="zh-Hans"/>
              </w:rPr>
              <w:t>（</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lang w:eastAsia="zh-Hans"/>
              </w:rPr>
              <w:t>分）</w:t>
            </w:r>
          </w:p>
        </w:tc>
        <w:tc>
          <w:tcPr>
            <w:tcW w:w="7283" w:type="dxa"/>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1.工作进度和服务质量控制措施有力，有针对性较强的质量保证体系，对项目实施落地支持辅导的针对性、完善性强，得1</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20</w:t>
            </w:r>
            <w:r>
              <w:rPr>
                <w:rFonts w:hint="eastAsia" w:ascii="仿宋" w:hAnsi="仿宋" w:eastAsia="仿宋" w:cs="仿宋"/>
                <w:sz w:val="24"/>
                <w:szCs w:val="24"/>
                <w:lang w:val="en-US" w:eastAsia="zh-Hans"/>
              </w:rPr>
              <w:t>分（需要比选人提供合理条件）；</w:t>
            </w:r>
          </w:p>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2.工作进度和服务质量控制措施基本合理，对项目实施落地支持辅导的针对性、完善性一般，得</w:t>
            </w:r>
            <w:r>
              <w:rPr>
                <w:rFonts w:hint="eastAsia" w:ascii="仿宋" w:hAnsi="仿宋" w:eastAsia="仿宋" w:cs="仿宋"/>
                <w:sz w:val="24"/>
                <w:szCs w:val="24"/>
                <w:lang w:val="en-US" w:eastAsia="zh-CN"/>
              </w:rPr>
              <w:t>15</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17</w:t>
            </w:r>
            <w:r>
              <w:rPr>
                <w:rFonts w:hint="eastAsia" w:ascii="仿宋" w:hAnsi="仿宋" w:eastAsia="仿宋" w:cs="仿宋"/>
                <w:sz w:val="24"/>
                <w:szCs w:val="24"/>
                <w:lang w:val="en-US" w:eastAsia="zh-Hans"/>
              </w:rPr>
              <w:t>分（需要比选人提供合理条件）；</w:t>
            </w:r>
          </w:p>
          <w:p>
            <w:pPr>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Hans"/>
              </w:rPr>
              <w:t>3.工作进度和服务质量控制措施不完全合理，对项目实施落地支持辅导的针对性、完善性不够，得</w:t>
            </w:r>
            <w:r>
              <w:rPr>
                <w:rFonts w:hint="eastAsia" w:ascii="仿宋" w:hAnsi="仿宋" w:eastAsia="仿宋" w:cs="仿宋"/>
                <w:sz w:val="24"/>
                <w:szCs w:val="24"/>
                <w:lang w:val="en-US" w:eastAsia="zh-CN"/>
              </w:rPr>
              <w:t>12</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14</w:t>
            </w:r>
            <w:r>
              <w:rPr>
                <w:rFonts w:hint="eastAsia" w:ascii="仿宋" w:hAnsi="仿宋" w:eastAsia="仿宋" w:cs="仿宋"/>
                <w:sz w:val="24"/>
                <w:szCs w:val="24"/>
                <w:lang w:val="en-US" w:eastAsia="zh-Hans"/>
              </w:rPr>
              <w:t>分（需要比选人提供合理条件）。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4"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40"/>
                <w:sz w:val="24"/>
                <w:szCs w:val="24"/>
                <w:lang w:val="en-US" w:eastAsia="zh-CN"/>
              </w:rPr>
            </w:pPr>
            <w:r>
              <w:rPr>
                <w:rFonts w:hint="eastAsia" w:ascii="仿宋" w:hAnsi="仿宋" w:eastAsia="仿宋" w:cs="仿宋"/>
                <w:kern w:val="40"/>
                <w:sz w:val="24"/>
                <w:szCs w:val="24"/>
                <w:lang w:val="en-US" w:eastAsia="zh-CN"/>
              </w:rPr>
              <w:t>6</w:t>
            </w:r>
          </w:p>
        </w:tc>
        <w:tc>
          <w:tcPr>
            <w:tcW w:w="202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服务思路（35）分</w:t>
            </w:r>
          </w:p>
        </w:tc>
        <w:tc>
          <w:tcPr>
            <w:tcW w:w="7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按“优”、“中”、“差”三个等级评定服务思路：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1.“优”等级：思路清晰、重点突出、站位高、格局广、规划方案翔实、时间计划详细、步骤描述清晰、团队分工明确，得31-35分。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2.“中”等级：思路较清晰、重点较突出、具备一定高度及深度、规划方案较翔实、时间计划较详细、工作步骤有描述、团队有分工，得26-30分。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3.“差”等级：思路混乱、重点不突出、不具备深度及高度、规范方案草率、时间计划简略、工作步骤描述较少、团队分工较差，得21-25分。</w:t>
            </w:r>
          </w:p>
        </w:tc>
      </w:tr>
    </w:tbl>
    <w:p>
      <w:pPr>
        <w:rPr>
          <w:rFonts w:hint="eastAsia" w:ascii="方正小标宋简体" w:hAnsi="方正小标宋简体" w:eastAsia="方正小标宋简体" w:cs="方正小标宋简体"/>
          <w:b w:val="0"/>
          <w:bCs w:val="0"/>
          <w:sz w:val="44"/>
          <w:szCs w:val="44"/>
          <w:lang w:eastAsia="zh-Hans"/>
        </w:rPr>
      </w:pPr>
      <w:r>
        <w:rPr>
          <w:rFonts w:hint="eastAsia" w:ascii="方正小标宋简体" w:hAnsi="方正小标宋简体" w:eastAsia="方正小标宋简体" w:cs="方正小标宋简体"/>
          <w:b w:val="0"/>
          <w:bCs w:val="0"/>
          <w:sz w:val="44"/>
          <w:szCs w:val="44"/>
          <w:lang w:eastAsia="zh-Hans"/>
        </w:rPr>
        <w:br w:type="page"/>
      </w:r>
    </w:p>
    <w:p>
      <w:pPr>
        <w:pStyle w:val="24"/>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Hans"/>
        </w:rPr>
      </w:pPr>
      <w:r>
        <w:rPr>
          <w:rFonts w:hint="eastAsia" w:ascii="方正小标宋简体" w:hAnsi="方正小标宋简体" w:eastAsia="方正小标宋简体" w:cs="方正小标宋简体"/>
          <w:b w:val="0"/>
          <w:bCs w:val="0"/>
          <w:sz w:val="44"/>
          <w:szCs w:val="44"/>
          <w:lang w:eastAsia="zh-CN"/>
        </w:rPr>
        <w:t>第四章</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Hans"/>
        </w:rPr>
        <w:t>响应文件格式</w:t>
      </w:r>
    </w:p>
    <w:p>
      <w:pPr>
        <w:pStyle w:val="24"/>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eastAsia="zh-Hans"/>
        </w:rPr>
      </w:pPr>
      <w:bookmarkStart w:id="8" w:name="_Toc387137092"/>
      <w:bookmarkStart w:id="9" w:name="_Toc263768863"/>
      <w:bookmarkStart w:id="10" w:name="_Toc263753599"/>
      <w:bookmarkStart w:id="11" w:name="_Toc295978803"/>
      <w:bookmarkStart w:id="12" w:name="_Toc454526634"/>
      <w:bookmarkStart w:id="13" w:name="_Toc256175344"/>
      <w:bookmarkStart w:id="14" w:name="_Toc370395456"/>
      <w:bookmarkStart w:id="15" w:name="_Toc174767228"/>
    </w:p>
    <w:p>
      <w:pPr>
        <w:pStyle w:val="24"/>
        <w:keepNext w:val="0"/>
        <w:keepLines w:val="0"/>
        <w:pageBreakBefore w:val="0"/>
        <w:numPr>
          <w:ilvl w:val="0"/>
          <w:numId w:val="0"/>
        </w:numPr>
        <w:kinsoku/>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Hans"/>
        </w:rPr>
        <w:t>报价函</w:t>
      </w:r>
      <w:bookmarkEnd w:id="8"/>
      <w:bookmarkEnd w:id="9"/>
      <w:bookmarkEnd w:id="10"/>
      <w:bookmarkEnd w:id="11"/>
      <w:bookmarkEnd w:id="12"/>
      <w:bookmarkEnd w:id="13"/>
      <w:bookmarkEnd w:id="14"/>
      <w:bookmarkEnd w:id="15"/>
    </w:p>
    <w:p>
      <w:pPr>
        <w:pStyle w:val="24"/>
        <w:keepNext w:val="0"/>
        <w:keepLines w:val="0"/>
        <w:pageBreakBefore w:val="0"/>
        <w:numPr>
          <w:ilvl w:val="0"/>
          <w:numId w:val="0"/>
        </w:numPr>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致：</w:t>
      </w:r>
      <w:r>
        <w:rPr>
          <w:rFonts w:hint="eastAsia" w:ascii="仿宋_GB2312" w:hAnsi="仿宋_GB2312" w:eastAsia="仿宋_GB2312" w:cs="仿宋_GB2312"/>
          <w:b/>
          <w:bCs/>
          <w:sz w:val="32"/>
          <w:szCs w:val="32"/>
          <w:lang w:eastAsia="zh-CN"/>
        </w:rPr>
        <w:t>四川省多式联运投资发展有限公司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Hans"/>
        </w:rPr>
        <w:t>全面研究了</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文件，决定参加贵公司</w:t>
      </w:r>
      <w:r>
        <w:rPr>
          <w:rFonts w:hint="eastAsia" w:ascii="仿宋_GB2312" w:hAnsi="仿宋_GB2312" w:eastAsia="仿宋_GB2312" w:cs="仿宋_GB2312"/>
          <w:sz w:val="32"/>
          <w:szCs w:val="32"/>
          <w:lang w:val="en-US" w:eastAsia="zh-CN"/>
        </w:rPr>
        <w:t>新津高速公路智慧物流港规划方案编制项目</w:t>
      </w:r>
      <w:r>
        <w:rPr>
          <w:rFonts w:hint="eastAsia" w:ascii="仿宋_GB2312" w:hAnsi="仿宋_GB2312" w:eastAsia="仿宋_GB2312" w:cs="仿宋_GB2312"/>
          <w:sz w:val="32"/>
          <w:szCs w:val="32"/>
          <w:lang w:eastAsia="zh-Hans"/>
        </w:rPr>
        <w:t>报价。我方</w:t>
      </w:r>
      <w:r>
        <w:rPr>
          <w:rFonts w:hint="eastAsia" w:ascii="仿宋_GB2312" w:hAnsi="仿宋_GB2312" w:eastAsia="仿宋_GB2312" w:cs="仿宋_GB2312"/>
          <w:sz w:val="32"/>
          <w:szCs w:val="32"/>
          <w:lang w:val="en-US" w:eastAsia="zh-CN"/>
        </w:rPr>
        <w:t>愿</w:t>
      </w:r>
      <w:r>
        <w:rPr>
          <w:rFonts w:hint="eastAsia" w:ascii="仿宋_GB2312" w:hAnsi="仿宋_GB2312" w:eastAsia="仿宋_GB2312" w:cs="仿宋_GB2312"/>
          <w:sz w:val="32"/>
          <w:szCs w:val="32"/>
          <w:u w:val="single"/>
          <w:lang w:val="en-US" w:eastAsia="zh-CN"/>
        </w:rPr>
        <w:t>意以含税人民币       元（大写：                 元）</w:t>
      </w:r>
      <w:r>
        <w:rPr>
          <w:rFonts w:hint="eastAsia" w:ascii="仿宋_GB2312" w:hAnsi="仿宋_GB2312" w:eastAsia="仿宋_GB2312" w:cs="仿宋_GB2312"/>
          <w:sz w:val="32"/>
          <w:szCs w:val="32"/>
          <w:lang w:val="en-US" w:eastAsia="zh-CN"/>
        </w:rPr>
        <w:t>的报价完成公开比选文件要求的所有工作</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eastAsia="zh-Hans"/>
        </w:rPr>
        <w:t>我方自愿按照</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文件规定的各项要求向</w:t>
      </w:r>
      <w:r>
        <w:rPr>
          <w:rFonts w:hint="eastAsia" w:ascii="仿宋_GB2312" w:hAnsi="仿宋_GB2312" w:eastAsia="仿宋_GB2312" w:cs="仿宋_GB2312"/>
          <w:sz w:val="32"/>
          <w:szCs w:val="32"/>
          <w:lang w:eastAsia="zh-CN"/>
        </w:rPr>
        <w:t>比选人</w:t>
      </w:r>
      <w:r>
        <w:rPr>
          <w:rFonts w:hint="eastAsia" w:ascii="仿宋_GB2312" w:hAnsi="仿宋_GB2312" w:eastAsia="仿宋_GB2312" w:cs="仿宋_GB2312"/>
          <w:sz w:val="32"/>
          <w:szCs w:val="32"/>
          <w:lang w:eastAsia="zh-Hans"/>
        </w:rPr>
        <w:t>提供所需相应的服务。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eastAsia="zh-Hans"/>
        </w:rPr>
        <w:t>一旦我方中选，我方将按</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文件要求，派遣符合</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文件的</w:t>
      </w:r>
      <w:r>
        <w:rPr>
          <w:rFonts w:hint="eastAsia" w:ascii="仿宋_GB2312" w:hAnsi="仿宋_GB2312" w:eastAsia="仿宋_GB2312" w:cs="仿宋_GB2312"/>
          <w:sz w:val="32"/>
          <w:szCs w:val="32"/>
          <w:lang w:val="en-US" w:eastAsia="zh-CN"/>
        </w:rPr>
        <w:t>专业人员</w:t>
      </w:r>
      <w:r>
        <w:rPr>
          <w:rFonts w:hint="eastAsia" w:ascii="仿宋_GB2312" w:hAnsi="仿宋_GB2312" w:eastAsia="仿宋_GB2312" w:cs="仿宋_GB2312"/>
          <w:sz w:val="32"/>
          <w:szCs w:val="32"/>
          <w:lang w:eastAsia="zh-Hans"/>
        </w:rPr>
        <w:t>，全面认真履行责任和义务，按质、按量、按期完成</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项目中的全部任务。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eastAsia="zh-Hans"/>
        </w:rPr>
        <w:t>我方为本项目提交的申请文件</w:t>
      </w:r>
      <w:r>
        <w:rPr>
          <w:rFonts w:hint="eastAsia" w:ascii="仿宋_GB2312" w:hAnsi="仿宋_GB2312" w:eastAsia="仿宋_GB2312" w:cs="仿宋_GB2312"/>
          <w:sz w:val="32"/>
          <w:szCs w:val="32"/>
          <w:lang w:val="en-US" w:eastAsia="zh-CN"/>
        </w:rPr>
        <w:t>正本</w:t>
      </w:r>
      <w:r>
        <w:rPr>
          <w:rFonts w:hint="eastAsia" w:ascii="仿宋_GB2312" w:hAnsi="仿宋_GB2312" w:eastAsia="仿宋_GB2312" w:cs="仿宋_GB2312"/>
          <w:sz w:val="32"/>
          <w:szCs w:val="32"/>
          <w:lang w:eastAsia="zh-Hans"/>
        </w:rPr>
        <w:t>1份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副本1份</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eastAsia="zh-Hans"/>
        </w:rPr>
        <w:t>我方</w:t>
      </w:r>
      <w:r>
        <w:rPr>
          <w:rFonts w:hint="eastAsia" w:ascii="仿宋_GB2312" w:hAnsi="仿宋_GB2312" w:eastAsia="仿宋_GB2312" w:cs="仿宋_GB2312"/>
          <w:sz w:val="32"/>
          <w:szCs w:val="32"/>
          <w:lang w:eastAsia="zh-CN"/>
        </w:rPr>
        <w:t>比选申请文件</w:t>
      </w:r>
      <w:r>
        <w:rPr>
          <w:rFonts w:hint="eastAsia" w:ascii="仿宋_GB2312" w:hAnsi="仿宋_GB2312" w:eastAsia="仿宋_GB2312" w:cs="仿宋_GB2312"/>
          <w:sz w:val="32"/>
          <w:szCs w:val="32"/>
          <w:lang w:eastAsia="zh-Hans"/>
        </w:rPr>
        <w:t>有效期为递交申请文件截止日起60日内;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eastAsia="zh-Hans"/>
        </w:rPr>
        <w:t>我方已详细研究并完全理解</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lang w:eastAsia="zh-Hans"/>
        </w:rPr>
        <w:t>文件的全部内容。我方放弃在此方面提出含糊意见或误解的一切权力。</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eastAsia="zh-Hans"/>
        </w:rPr>
        <w:t>我方同意按照贵公司的要求提供</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文件要求的有关的任何其他数据或信息。</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lang w:eastAsia="zh-Hans"/>
        </w:rPr>
        <w:t>我方理解贵公司不一定接受最低报价中选。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sz w:val="32"/>
          <w:szCs w:val="32"/>
          <w:lang w:eastAsia="zh-Hans"/>
        </w:rPr>
      </w:pP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CN"/>
        </w:rPr>
      </w:pP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 xml:space="preserve">（公章）：                  </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 xml:space="preserve">住所：                    </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负责人或授权代表（签名）：           </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日  期：                      </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Hans"/>
        </w:rPr>
      </w:pPr>
      <w:bookmarkStart w:id="16" w:name="_Toc454526637"/>
      <w:bookmarkStart w:id="17" w:name="_Toc370395459"/>
      <w:bookmarkStart w:id="18" w:name="_Toc387137095"/>
      <w:r>
        <w:rPr>
          <w:rFonts w:hint="eastAsia" w:ascii="仿宋_GB2312" w:hAnsi="仿宋_GB2312" w:eastAsia="仿宋_GB2312" w:cs="仿宋_GB2312"/>
          <w:b/>
          <w:bCs/>
          <w:sz w:val="32"/>
          <w:szCs w:val="32"/>
          <w:lang w:eastAsia="zh-Hans"/>
        </w:rPr>
        <w:br w:type="page"/>
      </w:r>
    </w:p>
    <w:p>
      <w:pPr>
        <w:pStyle w:val="24"/>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二、法定代表人身份证明</w:t>
      </w:r>
    </w:p>
    <w:p>
      <w:pPr>
        <w:keepNext w:val="0"/>
        <w:keepLines w:val="0"/>
        <w:pageBreakBefore w:val="0"/>
        <w:kinsoku/>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9" w:firstLineChars="192"/>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Hans"/>
        </w:rPr>
        <w:t xml:space="preserve">  </w:t>
      </w:r>
      <w:bookmarkStart w:id="19" w:name="_Hlk127433218"/>
      <w:r>
        <w:rPr>
          <w:rFonts w:hint="eastAsia" w:ascii="仿宋_GB2312" w:hAnsi="仿宋_GB2312" w:eastAsia="仿宋_GB2312" w:cs="仿宋_GB2312"/>
          <w:sz w:val="32"/>
          <w:szCs w:val="32"/>
          <w:lang w:eastAsia="zh-Hans"/>
        </w:rPr>
        <w:t>（法定代表人姓名）</w:t>
      </w:r>
      <w:bookmarkEnd w:id="19"/>
      <w:r>
        <w:rPr>
          <w:rFonts w:hint="eastAsia" w:ascii="仿宋_GB2312" w:hAnsi="仿宋_GB2312" w:eastAsia="仿宋_GB2312" w:cs="仿宋_GB2312"/>
          <w:sz w:val="32"/>
          <w:szCs w:val="32"/>
          <w:lang w:eastAsia="zh-Hans"/>
        </w:rPr>
        <w:t>在</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（申请人名称）任</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（职务名称）职务，是</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名称）的法定代表人。</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bookmarkStart w:id="20" w:name="_Toc263768866"/>
      <w:r>
        <w:rPr>
          <w:rFonts w:hint="eastAsia" w:ascii="仿宋_GB2312" w:hAnsi="仿宋_GB2312" w:eastAsia="仿宋_GB2312" w:cs="仿宋_GB2312"/>
          <w:sz w:val="32"/>
          <w:szCs w:val="32"/>
          <w:lang w:eastAsia="zh-Hans"/>
        </w:rPr>
        <w:t>特此证明。</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法定代表人联系电话：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名称（加盖公章）：</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1"/>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（注：应附法定代表人身份证复印件）。</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p>
    <w:p>
      <w:pPr>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br w:type="page"/>
      </w:r>
    </w:p>
    <w:p>
      <w:pPr>
        <w:pStyle w:val="24"/>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三、授权委托书</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p>
    <w:bookmarkEnd w:id="16"/>
    <w:bookmarkEnd w:id="17"/>
    <w:bookmarkEnd w:id="18"/>
    <w:p>
      <w:pPr>
        <w:pStyle w:val="24"/>
        <w:keepNext w:val="0"/>
        <w:keepLines w:val="0"/>
        <w:pageBreakBefore w:val="0"/>
        <w:kinsoku/>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致：</w:t>
      </w:r>
      <w:r>
        <w:rPr>
          <w:rFonts w:hint="eastAsia" w:ascii="仿宋_GB2312" w:hAnsi="仿宋_GB2312" w:eastAsia="仿宋_GB2312" w:cs="仿宋_GB2312"/>
          <w:b/>
          <w:bCs/>
          <w:sz w:val="32"/>
          <w:szCs w:val="32"/>
          <w:lang w:eastAsia="zh-CN"/>
        </w:rPr>
        <w:t>四川省多式联运投资发展有限公司</w:t>
      </w:r>
    </w:p>
    <w:p>
      <w:pPr>
        <w:pStyle w:val="24"/>
        <w:keepNext w:val="0"/>
        <w:keepLines w:val="0"/>
        <w:pageBreakBefore w:val="0"/>
        <w:kinsoku/>
        <w:overflowPunct/>
        <w:topLinePunct w:val="0"/>
        <w:autoSpaceDE/>
        <w:autoSpaceDN/>
        <w:bidi w:val="0"/>
        <w:adjustRightInd/>
        <w:snapToGrid/>
        <w:spacing w:line="560" w:lineRule="exact"/>
        <w:ind w:firstLine="936" w:firstLineChars="300"/>
        <w:textAlignment w:val="auto"/>
        <w:rPr>
          <w:rFonts w:hint="eastAsia" w:ascii="仿宋_GB2312" w:hAnsi="仿宋_GB2312" w:eastAsia="仿宋_GB2312" w:cs="仿宋_GB2312"/>
          <w:sz w:val="32"/>
          <w:szCs w:val="32"/>
          <w:lang w:eastAsia="zh-Hans"/>
        </w:rPr>
      </w:pPr>
      <w:bookmarkStart w:id="21" w:name="_Hlk127433188"/>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Hans"/>
        </w:rPr>
        <w:t xml:space="preserve"> </w:t>
      </w:r>
      <w:bookmarkEnd w:id="21"/>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全称）法定代表人</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Hans"/>
        </w:rPr>
        <w:t xml:space="preserve">   </w:t>
      </w:r>
      <w:bookmarkStart w:id="22" w:name="_Hlk127433230"/>
      <w:r>
        <w:rPr>
          <w:rFonts w:hint="eastAsia" w:ascii="仿宋_GB2312" w:hAnsi="仿宋_GB2312" w:eastAsia="仿宋_GB2312" w:cs="仿宋_GB2312"/>
          <w:sz w:val="32"/>
          <w:szCs w:val="32"/>
          <w:lang w:eastAsia="zh-Hans"/>
        </w:rPr>
        <w:t>（法定代表人姓名）</w:t>
      </w:r>
      <w:bookmarkEnd w:id="22"/>
      <w:r>
        <w:rPr>
          <w:rFonts w:hint="eastAsia" w:ascii="仿宋_GB2312" w:hAnsi="仿宋_GB2312" w:eastAsia="仿宋_GB2312" w:cs="仿宋_GB2312"/>
          <w:sz w:val="32"/>
          <w:szCs w:val="32"/>
          <w:lang w:eastAsia="zh-Hans"/>
        </w:rPr>
        <w:t>授权委托</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（代理人姓名）为我方代理人，参加贵公司组织的</w:t>
      </w:r>
      <w:r>
        <w:rPr>
          <w:rFonts w:hint="eastAsia" w:ascii="仿宋_GB2312" w:hAnsi="仿宋_GB2312" w:eastAsia="仿宋_GB2312" w:cs="仿宋_GB2312"/>
          <w:sz w:val="32"/>
          <w:szCs w:val="32"/>
          <w:lang w:val="en-US" w:eastAsia="zh-CN"/>
        </w:rPr>
        <w:t>新津高速公路智慧物流港规划方案编制项目</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。代理人在本次</w:t>
      </w:r>
      <w:r>
        <w:rPr>
          <w:rFonts w:hint="eastAsia" w:ascii="仿宋_GB2312" w:hAnsi="仿宋_GB2312" w:eastAsia="仿宋_GB2312" w:cs="仿宋_GB2312"/>
          <w:sz w:val="32"/>
          <w:szCs w:val="32"/>
          <w:lang w:eastAsia="zh-CN"/>
        </w:rPr>
        <w:t>公开比选</w:t>
      </w:r>
      <w:r>
        <w:rPr>
          <w:rFonts w:hint="eastAsia" w:ascii="仿宋_GB2312" w:hAnsi="仿宋_GB2312" w:eastAsia="仿宋_GB2312" w:cs="仿宋_GB2312"/>
          <w:sz w:val="32"/>
          <w:szCs w:val="32"/>
          <w:lang w:eastAsia="zh-Hans"/>
        </w:rPr>
        <w:t>中所签署的一切文件和处理的一切有关事宜，我公司均予承认，所产生的法律后果均由我单位承担。</w:t>
      </w:r>
    </w:p>
    <w:p>
      <w:pPr>
        <w:pStyle w:val="24"/>
        <w:keepNext w:val="0"/>
        <w:keepLines w:val="0"/>
        <w:pageBreakBefore w:val="0"/>
        <w:kinsoku/>
        <w:overflowPunct/>
        <w:topLinePunct w:val="0"/>
        <w:autoSpaceDE/>
        <w:autoSpaceDN/>
        <w:bidi w:val="0"/>
        <w:adjustRightInd/>
        <w:snapToGrid/>
        <w:spacing w:line="560" w:lineRule="exact"/>
        <w:ind w:left="614" w:leftChars="304" w:firstLine="0" w:firstLineChars="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代理人无转委托权，本授权书自</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u w:val="single"/>
          <w:lang w:eastAsia="zh-Hans"/>
        </w:rPr>
        <w:t xml:space="preserve">   </w:t>
      </w:r>
      <w:r>
        <w:rPr>
          <w:rFonts w:hint="eastAsia" w:ascii="仿宋_GB2312" w:hAnsi="仿宋_GB2312" w:eastAsia="仿宋_GB2312" w:cs="仿宋_GB2312"/>
          <w:sz w:val="32"/>
          <w:szCs w:val="32"/>
          <w:lang w:eastAsia="zh-Hans"/>
        </w:rPr>
        <w:t>日签字生效。特此声明。</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      </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法定代表人（签字或盖法定代表人印章）：          </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 xml:space="preserve">代理人（签字）：             </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lang w:eastAsia="zh-Hans"/>
        </w:rPr>
        <w:t xml:space="preserve">名称（加盖公章）：          </w:t>
      </w:r>
    </w:p>
    <w:p>
      <w:pPr>
        <w:keepNext w:val="0"/>
        <w:keepLines w:val="0"/>
        <w:pageBreakBefore w:val="0"/>
        <w:kinsoku/>
        <w:overflowPunct/>
        <w:topLinePunct w:val="0"/>
        <w:autoSpaceDE/>
        <w:autoSpaceDN/>
        <w:bidi w:val="0"/>
        <w:adjustRightInd/>
        <w:snapToGrid/>
        <w:spacing w:line="560" w:lineRule="exact"/>
        <w:ind w:firstLine="312" w:firstLineChars="1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（注：应附代理人身份证复印件）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br w:type="page"/>
      </w:r>
    </w:p>
    <w:p>
      <w:pPr>
        <w:keepNext w:val="0"/>
        <w:keepLines w:val="0"/>
        <w:pageBreakBefore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Hans"/>
        </w:rPr>
        <w:t>业绩证明</w:t>
      </w:r>
    </w:p>
    <w:p>
      <w:pPr>
        <w:pStyle w:val="2"/>
        <w:numPr>
          <w:ilvl w:val="0"/>
          <w:numId w:val="0"/>
        </w:numPr>
        <w:rPr>
          <w:rFonts w:hint="eastAsia"/>
          <w:lang w:eastAsia="zh-Hans"/>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842"/>
        <w:gridCol w:w="2127"/>
        <w:gridCol w:w="1559"/>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65"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tc>
        <w:tc>
          <w:tcPr>
            <w:tcW w:w="1842"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w:t>
            </w: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２</w:t>
            </w: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865"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1842"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1865" w:type="dxa"/>
            <w:noWrap w:val="0"/>
            <w:vAlign w:val="center"/>
          </w:tcPr>
          <w:p>
            <w:pPr>
              <w:widowControl/>
              <w:spacing w:line="36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概况</w:t>
            </w:r>
          </w:p>
        </w:tc>
        <w:tc>
          <w:tcPr>
            <w:tcW w:w="1842" w:type="dxa"/>
            <w:noWrap w:val="0"/>
            <w:vAlign w:val="center"/>
          </w:tcPr>
          <w:p>
            <w:pPr>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（简述工作范围及内容）</w:t>
            </w: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865" w:type="dxa"/>
            <w:noWrap w:val="0"/>
            <w:vAlign w:val="center"/>
          </w:tcPr>
          <w:p>
            <w:pPr>
              <w:widowControl/>
              <w:spacing w:line="360" w:lineRule="atLeas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完成情况</w:t>
            </w:r>
          </w:p>
        </w:tc>
        <w:tc>
          <w:tcPr>
            <w:tcW w:w="1842" w:type="dxa"/>
            <w:noWrap w:val="0"/>
            <w:vAlign w:val="center"/>
          </w:tcPr>
          <w:p>
            <w:pPr>
              <w:spacing w:line="360" w:lineRule="atLeast"/>
              <w:jc w:val="center"/>
              <w:rPr>
                <w:rFonts w:hint="eastAsia" w:ascii="仿宋_GB2312" w:hAnsi="仿宋_GB2312" w:eastAsia="仿宋_GB2312" w:cs="仿宋_GB2312"/>
                <w:sz w:val="32"/>
                <w:szCs w:val="32"/>
              </w:rPr>
            </w:pP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65"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合同规定的起止时间</w:t>
            </w:r>
          </w:p>
        </w:tc>
        <w:tc>
          <w:tcPr>
            <w:tcW w:w="1842"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65" w:type="dxa"/>
            <w:noWrap w:val="0"/>
            <w:vAlign w:val="center"/>
          </w:tcPr>
          <w:p>
            <w:pPr>
              <w:widowControl/>
              <w:spacing w:line="3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1842"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2127"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559" w:type="dxa"/>
            <w:noWrap w:val="0"/>
            <w:vAlign w:val="center"/>
          </w:tcPr>
          <w:p>
            <w:pPr>
              <w:widowControl/>
              <w:spacing w:line="360" w:lineRule="atLeast"/>
              <w:jc w:val="center"/>
              <w:rPr>
                <w:rFonts w:hint="eastAsia" w:ascii="仿宋_GB2312" w:hAnsi="仿宋_GB2312" w:eastAsia="仿宋_GB2312" w:cs="仿宋_GB2312"/>
                <w:sz w:val="32"/>
                <w:szCs w:val="32"/>
              </w:rPr>
            </w:pPr>
          </w:p>
        </w:tc>
        <w:tc>
          <w:tcPr>
            <w:tcW w:w="1381" w:type="dxa"/>
            <w:noWrap w:val="0"/>
            <w:vAlign w:val="center"/>
          </w:tcPr>
          <w:p>
            <w:pPr>
              <w:widowControl/>
              <w:spacing w:line="360" w:lineRule="atLeast"/>
              <w:jc w:val="center"/>
              <w:rPr>
                <w:rFonts w:hint="eastAsia" w:ascii="仿宋_GB2312" w:hAnsi="仿宋_GB2312" w:eastAsia="仿宋_GB2312" w:cs="仿宋_GB2312"/>
                <w:sz w:val="32"/>
                <w:szCs w:val="32"/>
              </w:rPr>
            </w:pPr>
          </w:p>
        </w:tc>
      </w:tr>
    </w:tbl>
    <w:p>
      <w:pPr>
        <w:spacing w:line="400" w:lineRule="exact"/>
        <w:rPr>
          <w:rFonts w:ascii="仿宋" w:hAnsi="仿宋" w:eastAsia="仿宋"/>
          <w:b/>
          <w:bCs/>
          <w:kern w:val="0"/>
          <w:sz w:val="24"/>
          <w:szCs w:val="24"/>
        </w:rPr>
      </w:pPr>
      <w:r>
        <w:rPr>
          <w:rFonts w:ascii="仿宋" w:hAnsi="仿宋" w:eastAsia="仿宋"/>
          <w:b/>
          <w:bCs/>
          <w:kern w:val="0"/>
          <w:sz w:val="24"/>
          <w:szCs w:val="24"/>
        </w:rPr>
        <w:t>注：1. 比选申请人应将承担的相关项目情况填入本表中，时间认定以与业主签订的合同时间为准；</w:t>
      </w:r>
    </w:p>
    <w:p>
      <w:pPr>
        <w:spacing w:line="400" w:lineRule="exact"/>
        <w:rPr>
          <w:rFonts w:ascii="仿宋" w:hAnsi="仿宋" w:eastAsia="仿宋"/>
          <w:b/>
          <w:bCs/>
          <w:kern w:val="0"/>
          <w:sz w:val="24"/>
          <w:szCs w:val="24"/>
        </w:rPr>
      </w:pPr>
      <w:r>
        <w:rPr>
          <w:rFonts w:ascii="仿宋" w:hAnsi="仿宋" w:eastAsia="仿宋"/>
          <w:b/>
          <w:bCs/>
          <w:kern w:val="0"/>
          <w:sz w:val="24"/>
          <w:szCs w:val="24"/>
        </w:rPr>
        <w:t>2. 项目概况包括：项目名称、规模、合同金额及服务主要内容；</w:t>
      </w:r>
    </w:p>
    <w:p>
      <w:pPr>
        <w:spacing w:line="400" w:lineRule="exact"/>
        <w:rPr>
          <w:rFonts w:ascii="仿宋" w:hAnsi="仿宋" w:eastAsia="仿宋"/>
          <w:b/>
          <w:bCs/>
          <w:kern w:val="0"/>
          <w:sz w:val="24"/>
          <w:szCs w:val="24"/>
        </w:rPr>
      </w:pPr>
      <w:r>
        <w:rPr>
          <w:rFonts w:hint="eastAsia" w:ascii="仿宋" w:hAnsi="仿宋" w:eastAsia="仿宋"/>
          <w:b/>
          <w:bCs/>
          <w:kern w:val="0"/>
          <w:sz w:val="24"/>
          <w:szCs w:val="24"/>
        </w:rPr>
        <w:t>3</w:t>
      </w:r>
      <w:r>
        <w:rPr>
          <w:rFonts w:ascii="仿宋" w:hAnsi="仿宋" w:eastAsia="仿宋"/>
          <w:b/>
          <w:bCs/>
          <w:kern w:val="0"/>
          <w:sz w:val="24"/>
          <w:szCs w:val="24"/>
        </w:rPr>
        <w:t>. 完成情况填入：正在进行（注明已完工作量的比例）/已全部完成；</w:t>
      </w:r>
    </w:p>
    <w:p>
      <w:pPr>
        <w:spacing w:line="400" w:lineRule="exact"/>
        <w:rPr>
          <w:rFonts w:ascii="仿宋" w:hAnsi="仿宋" w:eastAsia="仿宋"/>
          <w:b/>
          <w:bCs/>
          <w:kern w:val="0"/>
          <w:sz w:val="24"/>
          <w:szCs w:val="24"/>
        </w:rPr>
      </w:pPr>
      <w:r>
        <w:rPr>
          <w:rFonts w:hint="eastAsia" w:ascii="仿宋" w:hAnsi="仿宋" w:eastAsia="仿宋"/>
          <w:b/>
          <w:bCs/>
          <w:kern w:val="0"/>
          <w:sz w:val="24"/>
          <w:szCs w:val="24"/>
        </w:rPr>
        <w:t>4</w:t>
      </w:r>
      <w:r>
        <w:rPr>
          <w:rFonts w:ascii="仿宋" w:hAnsi="仿宋" w:eastAsia="仿宋"/>
          <w:b/>
          <w:bCs/>
          <w:kern w:val="0"/>
          <w:sz w:val="24"/>
          <w:szCs w:val="24"/>
        </w:rPr>
        <w:t>. 比选申请人应随本表出具所填项目</w:t>
      </w:r>
      <w:r>
        <w:rPr>
          <w:rFonts w:hint="eastAsia" w:ascii="仿宋" w:hAnsi="仿宋" w:eastAsia="仿宋"/>
          <w:b/>
          <w:bCs/>
          <w:kern w:val="0"/>
          <w:sz w:val="24"/>
          <w:szCs w:val="24"/>
        </w:rPr>
        <w:t>相关证明附件，如</w:t>
      </w:r>
      <w:r>
        <w:rPr>
          <w:rFonts w:ascii="仿宋" w:hAnsi="仿宋" w:eastAsia="仿宋"/>
          <w:b/>
          <w:bCs/>
          <w:kern w:val="0"/>
          <w:sz w:val="24"/>
          <w:szCs w:val="24"/>
        </w:rPr>
        <w:t>合同文本（复印件），</w:t>
      </w:r>
      <w:r>
        <w:rPr>
          <w:rFonts w:hint="eastAsia" w:ascii="仿宋" w:hAnsi="仿宋" w:eastAsia="仿宋"/>
          <w:b/>
          <w:bCs/>
          <w:kern w:val="0"/>
          <w:sz w:val="24"/>
          <w:szCs w:val="24"/>
        </w:rPr>
        <w:t>中标通知书、项目成果等材料；</w:t>
      </w:r>
      <w:r>
        <w:rPr>
          <w:rFonts w:ascii="仿宋" w:hAnsi="仿宋" w:eastAsia="仿宋"/>
          <w:b/>
          <w:bCs/>
          <w:kern w:val="0"/>
          <w:sz w:val="24"/>
          <w:szCs w:val="24"/>
        </w:rPr>
        <w:t>如无相关证明材料，比选人将不考虑比选申请人所填项目的业绩。合同文本应含有：项目名称、甲、乙方单位名称，服务范围、甲、乙方单位签约人及单位公章等内容。如果合同不能反映上述要求的项目工作内容，可由上述项目业主出具有效证明或附相关网站发布的招标、中标（中选）公告。</w:t>
      </w:r>
    </w:p>
    <w:p>
      <w:pPr>
        <w:rPr>
          <w:rFonts w:hint="eastAsia" w:ascii="宋体" w:hAnsi="宋体"/>
          <w:b/>
          <w:bCs/>
          <w:sz w:val="28"/>
          <w:szCs w:val="28"/>
          <w:lang w:eastAsia="zh-CN"/>
        </w:rPr>
      </w:pPr>
      <w:r>
        <w:rPr>
          <w:rFonts w:hint="eastAsia" w:ascii="宋体" w:hAnsi="宋体"/>
          <w:b/>
          <w:bCs/>
          <w:sz w:val="28"/>
          <w:szCs w:val="28"/>
          <w:lang w:eastAsia="zh-CN"/>
        </w:rPr>
        <w:br w:type="page"/>
      </w:r>
    </w:p>
    <w:p>
      <w:pPr>
        <w:keepNext w:val="0"/>
        <w:keepLines w:val="0"/>
        <w:pageBreakBefore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Hans"/>
        </w:rPr>
        <w:t>拟在本项目任职的主要人员资历表</w:t>
      </w:r>
    </w:p>
    <w:p>
      <w:pPr>
        <w:pStyle w:val="2"/>
        <w:numPr>
          <w:ilvl w:val="0"/>
          <w:numId w:val="0"/>
        </w:numPr>
        <w:rPr>
          <w:rFonts w:hint="eastAsia"/>
          <w:lang w:eastAsia="zh-Hans"/>
        </w:rPr>
      </w:pPr>
    </w:p>
    <w:tbl>
      <w:tblPr>
        <w:tblStyle w:val="26"/>
        <w:tblW w:w="8748" w:type="dxa"/>
        <w:tblInd w:w="260" w:type="dxa"/>
        <w:tblLayout w:type="fixed"/>
        <w:tblCellMar>
          <w:top w:w="0" w:type="dxa"/>
          <w:left w:w="108" w:type="dxa"/>
          <w:bottom w:w="0" w:type="dxa"/>
          <w:right w:w="108" w:type="dxa"/>
        </w:tblCellMar>
      </w:tblPr>
      <w:tblGrid>
        <w:gridCol w:w="2100"/>
        <w:gridCol w:w="2615"/>
        <w:gridCol w:w="4033"/>
      </w:tblGrid>
      <w:tr>
        <w:tblPrEx>
          <w:tblCellMar>
            <w:top w:w="0" w:type="dxa"/>
            <w:left w:w="108" w:type="dxa"/>
            <w:bottom w:w="0" w:type="dxa"/>
            <w:right w:w="108" w:type="dxa"/>
          </w:tblCellMar>
        </w:tblPrEx>
        <w:trPr>
          <w:trHeight w:val="666" w:hRule="atLeast"/>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  务</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4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执业资格</w:t>
            </w:r>
          </w:p>
        </w:tc>
      </w:tr>
      <w:tr>
        <w:tblPrEx>
          <w:tblCellMar>
            <w:top w:w="0" w:type="dxa"/>
            <w:left w:w="108" w:type="dxa"/>
            <w:bottom w:w="0" w:type="dxa"/>
            <w:right w:w="108" w:type="dxa"/>
          </w:tblCellMar>
        </w:tblPrEx>
        <w:trPr>
          <w:cantSplit/>
          <w:trHeight w:val="728" w:hRule="atLeast"/>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w:t>
            </w:r>
          </w:p>
        </w:tc>
        <w:tc>
          <w:tcPr>
            <w:tcW w:w="26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p>
        </w:tc>
        <w:tc>
          <w:tcPr>
            <w:tcW w:w="403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cantSplit/>
          <w:trHeight w:val="691" w:hRule="atLeast"/>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团队成员</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p>
        </w:tc>
        <w:tc>
          <w:tcPr>
            <w:tcW w:w="4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p>
        </w:tc>
      </w:tr>
    </w:tbl>
    <w:p>
      <w:pPr>
        <w:pStyle w:val="11"/>
        <w:kinsoku w:val="0"/>
        <w:overflowPunct w:val="0"/>
        <w:spacing w:after="0"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pacing w:val="-2"/>
          <w:sz w:val="28"/>
          <w:szCs w:val="28"/>
        </w:rPr>
        <w:t>注：</w:t>
      </w:r>
      <w:r>
        <w:rPr>
          <w:rFonts w:hint="eastAsia" w:ascii="仿宋_GB2312" w:hAnsi="仿宋_GB2312" w:eastAsia="仿宋_GB2312" w:cs="仿宋_GB2312"/>
          <w:b/>
          <w:bCs/>
          <w:sz w:val="28"/>
          <w:szCs w:val="28"/>
        </w:rPr>
        <w:t>相关人员须附下述证明材料影印件（彩色或黑白）：</w:t>
      </w:r>
    </w:p>
    <w:p>
      <w:pPr>
        <w:spacing w:line="360" w:lineRule="auto"/>
        <w:ind w:firstLine="544"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相关职称（职业资格）证书影印件、工作简历，项目负责人担任负责人的项目合同影印件（首页和签章页），</w:t>
      </w:r>
      <w:r>
        <w:rPr>
          <w:rFonts w:hint="eastAsia" w:ascii="仿宋_GB2312" w:hAnsi="仿宋_GB2312" w:eastAsia="仿宋_GB2312" w:cs="仿宋_GB2312"/>
          <w:b/>
          <w:bCs/>
          <w:sz w:val="28"/>
          <w:szCs w:val="28"/>
        </w:rPr>
        <w:t>以及</w:t>
      </w:r>
      <w:r>
        <w:rPr>
          <w:rFonts w:hint="eastAsia" w:ascii="仿宋_GB2312" w:hAnsi="仿宋_GB2312" w:eastAsia="仿宋_GB2312" w:cs="仿宋_GB2312"/>
          <w:b/>
          <w:bCs/>
          <w:kern w:val="0"/>
          <w:sz w:val="28"/>
          <w:szCs w:val="28"/>
        </w:rPr>
        <w:t>开标上个月开始，往</w:t>
      </w:r>
      <w:r>
        <w:rPr>
          <w:rFonts w:hint="eastAsia" w:ascii="仿宋_GB2312" w:hAnsi="仿宋_GB2312" w:eastAsia="仿宋_GB2312" w:cs="仿宋_GB2312"/>
          <w:b/>
          <w:bCs/>
          <w:sz w:val="28"/>
          <w:szCs w:val="28"/>
        </w:rPr>
        <w:t>前连续6个月在该</w:t>
      </w:r>
      <w:r>
        <w:rPr>
          <w:rFonts w:hint="eastAsia" w:ascii="仿宋_GB2312" w:hAnsi="仿宋_GB2312" w:eastAsia="仿宋_GB2312" w:cs="仿宋_GB2312"/>
          <w:b/>
          <w:bCs/>
          <w:sz w:val="28"/>
          <w:szCs w:val="28"/>
          <w:lang w:val="en-US" w:eastAsia="zh-CN"/>
        </w:rPr>
        <w:t>比选申请人</w:t>
      </w:r>
      <w:r>
        <w:rPr>
          <w:rFonts w:hint="eastAsia" w:ascii="仿宋_GB2312" w:hAnsi="仿宋_GB2312" w:eastAsia="仿宋_GB2312" w:cs="仿宋_GB2312"/>
          <w:b/>
          <w:bCs/>
          <w:sz w:val="28"/>
          <w:szCs w:val="28"/>
        </w:rPr>
        <w:t>单位的养老保险缴纳凭证或社保部门出具的在该</w:t>
      </w:r>
      <w:r>
        <w:rPr>
          <w:rFonts w:hint="eastAsia" w:ascii="仿宋_GB2312" w:hAnsi="仿宋_GB2312" w:eastAsia="仿宋_GB2312" w:cs="仿宋_GB2312"/>
          <w:b/>
          <w:bCs/>
          <w:sz w:val="28"/>
          <w:szCs w:val="28"/>
          <w:lang w:val="en-US" w:eastAsia="zh-CN"/>
        </w:rPr>
        <w:t>比选申请人</w:t>
      </w:r>
      <w:r>
        <w:rPr>
          <w:rFonts w:hint="eastAsia" w:ascii="仿宋_GB2312" w:hAnsi="仿宋_GB2312" w:eastAsia="仿宋_GB2312" w:cs="仿宋_GB2312"/>
          <w:b/>
          <w:bCs/>
          <w:sz w:val="28"/>
          <w:szCs w:val="28"/>
        </w:rPr>
        <w:t>单位参保的证明。</w:t>
      </w:r>
    </w:p>
    <w:p>
      <w:pPr>
        <w:spacing w:line="360" w:lineRule="auto"/>
        <w:ind w:firstLine="404" w:firstLineChars="200"/>
        <w:rPr>
          <w:rFonts w:hAnsi="宋体"/>
          <w:bCs/>
          <w:szCs w:val="21"/>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br w:type="page"/>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lang w:eastAsia="zh-Hans"/>
        </w:rPr>
        <w:t>、承诺（</w:t>
      </w:r>
      <w:r>
        <w:rPr>
          <w:rFonts w:hint="eastAsia" w:ascii="黑体" w:hAnsi="黑体" w:eastAsia="黑体" w:cs="黑体"/>
          <w:b w:val="0"/>
          <w:bCs w:val="0"/>
          <w:sz w:val="32"/>
          <w:szCs w:val="32"/>
          <w:lang w:eastAsia="zh-CN"/>
        </w:rPr>
        <w:t>比选申请人</w:t>
      </w:r>
      <w:r>
        <w:rPr>
          <w:rFonts w:hint="eastAsia" w:ascii="黑体" w:hAnsi="黑体" w:eastAsia="黑体" w:cs="黑体"/>
          <w:b w:val="0"/>
          <w:bCs w:val="0"/>
          <w:sz w:val="32"/>
          <w:szCs w:val="32"/>
          <w:lang w:eastAsia="zh-Hans"/>
        </w:rPr>
        <w:t>银行资信、商业信誉、无违法违规等）</w:t>
      </w:r>
    </w:p>
    <w:p>
      <w:pPr>
        <w:pStyle w:val="24"/>
        <w:keepNext w:val="0"/>
        <w:keepLines w:val="0"/>
        <w:pageBreakBefore w:val="0"/>
        <w:kinsoku/>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sz w:val="32"/>
          <w:szCs w:val="32"/>
          <w:lang w:eastAsia="zh-Hans"/>
        </w:rPr>
      </w:pPr>
    </w:p>
    <w:p>
      <w:pPr>
        <w:rPr>
          <w:rFonts w:hint="eastAsia"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 xml:space="preserve">四川省多式联运投资发展有限公司： </w:t>
      </w:r>
    </w:p>
    <w:p>
      <w:pPr>
        <w:ind w:firstLine="624"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我方在此承诺，我公司具备良好的社会信誉，近3年没有违反职业道德和未发生违法执业行为；我公司法定代表人、项目负责人在2020年1月1日至本项目比选申请文件递交截止日之间，未被人民法院生效判决为行贿犯罪；我方在此承诺，所递交的比选申请文件（包括相关资料，澄清）真实可信，不存在虚假（包括隐瞒）。      </w:t>
      </w:r>
    </w:p>
    <w:p>
      <w:pPr>
        <w:ind w:firstLine="624" w:firstLineChars="200"/>
        <w:rPr>
          <w:rFonts w:hint="eastAsia" w:ascii="仿宋_GB2312" w:hAnsi="仿宋_GB2312" w:eastAsia="仿宋_GB2312" w:cs="仿宋_GB2312"/>
          <w:sz w:val="32"/>
          <w:szCs w:val="32"/>
          <w:lang w:val="en-US" w:eastAsia="zh-CN" w:bidi="ar-SA"/>
        </w:rPr>
      </w:pPr>
    </w:p>
    <w:p>
      <w:pPr>
        <w:ind w:firstLine="624"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      </w:t>
      </w:r>
    </w:p>
    <w:p>
      <w:pPr>
        <w:ind w:firstLine="624"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                  </w:t>
      </w:r>
    </w:p>
    <w:p>
      <w:pPr>
        <w:ind w:firstLine="624" w:firstLineChars="200"/>
        <w:rPr>
          <w:rFonts w:hint="eastAsia" w:ascii="仿宋_GB2312" w:hAnsi="仿宋_GB2312" w:eastAsia="仿宋_GB2312" w:cs="仿宋_GB2312"/>
          <w:sz w:val="32"/>
          <w:szCs w:val="32"/>
          <w:lang w:val="en-US" w:eastAsia="zh-CN" w:bidi="ar-SA"/>
        </w:rPr>
      </w:pPr>
    </w:p>
    <w:p>
      <w:pPr>
        <w:ind w:firstLine="624" w:firstLineChars="200"/>
        <w:rPr>
          <w:rFonts w:hint="eastAsia" w:ascii="仿宋_GB2312" w:hAnsi="仿宋_GB2312" w:eastAsia="仿宋_GB2312" w:cs="仿宋_GB2312"/>
          <w:sz w:val="32"/>
          <w:szCs w:val="32"/>
          <w:lang w:val="en-US" w:eastAsia="zh-CN" w:bidi="ar-SA"/>
        </w:rPr>
      </w:pPr>
    </w:p>
    <w:p>
      <w:pP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比选申请人：     （盖单位章）</w:t>
      </w:r>
    </w:p>
    <w:p>
      <w:pPr>
        <w:ind w:left="0" w:leftChars="0" w:firstLine="0" w:firstLineChars="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法定代表人或其委托代理人：     （签字）</w:t>
      </w:r>
    </w:p>
    <w:p>
      <w:pPr>
        <w:ind w:firstLine="624" w:firstLineChars="200"/>
        <w:jc w:val="right"/>
        <w:rPr>
          <w:rFonts w:hint="eastAsia" w:ascii="仿宋_GB2312" w:hAnsi="仿宋_GB2312" w:eastAsia="仿宋_GB2312" w:cs="仿宋_GB2312"/>
          <w:sz w:val="32"/>
          <w:szCs w:val="32"/>
          <w:lang w:val="en-US" w:eastAsia="zh-CN" w:bidi="ar-SA"/>
        </w:rPr>
      </w:pPr>
    </w:p>
    <w:p>
      <w:pPr>
        <w:ind w:firstLine="624" w:firstLineChars="200"/>
        <w:jc w:val="righ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年   月   日</w:t>
      </w:r>
    </w:p>
    <w:p>
      <w:pPr>
        <w:keepNext w:val="0"/>
        <w:keepLines w:val="0"/>
        <w:pageBreakBefore w:val="0"/>
        <w:kinsoku/>
        <w:overflowPunct/>
        <w:topLinePunct w:val="0"/>
        <w:autoSpaceDE/>
        <w:autoSpaceDN/>
        <w:bidi w:val="0"/>
        <w:adjustRightInd/>
        <w:snapToGrid/>
        <w:spacing w:line="560" w:lineRule="exact"/>
        <w:ind w:firstLine="312" w:firstLineChars="100"/>
        <w:jc w:val="center"/>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br w:type="page"/>
      </w:r>
      <w:bookmarkStart w:id="23" w:name="_Toc370395468"/>
      <w:bookmarkStart w:id="24" w:name="_Toc325356173"/>
      <w:bookmarkStart w:id="25" w:name="_Toc351709667"/>
      <w:bookmarkStart w:id="26" w:name="_Toc387137105"/>
      <w:bookmarkStart w:id="27" w:name="_Toc454526646"/>
    </w:p>
    <w:p>
      <w:pPr>
        <w:pStyle w:val="24"/>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Hans"/>
        </w:rPr>
      </w:pPr>
      <w:r>
        <w:rPr>
          <w:rFonts w:hint="eastAsia" w:ascii="方正小标宋简体" w:hAnsi="方正小标宋简体" w:eastAsia="方正小标宋简体" w:cs="方正小标宋简体"/>
          <w:b w:val="0"/>
          <w:bCs w:val="0"/>
          <w:sz w:val="44"/>
          <w:szCs w:val="44"/>
          <w:lang w:eastAsia="zh-Hans"/>
        </w:rPr>
        <w:t>第</w:t>
      </w:r>
      <w:r>
        <w:rPr>
          <w:rFonts w:hint="eastAsia" w:ascii="方正小标宋简体" w:hAnsi="方正小标宋简体" w:eastAsia="方正小标宋简体" w:cs="方正小标宋简体"/>
          <w:b w:val="0"/>
          <w:bCs w:val="0"/>
          <w:sz w:val="44"/>
          <w:szCs w:val="44"/>
          <w:lang w:eastAsia="zh-CN"/>
        </w:rPr>
        <w:t>五</w:t>
      </w:r>
      <w:r>
        <w:rPr>
          <w:rFonts w:hint="eastAsia" w:ascii="方正小标宋简体" w:hAnsi="方正小标宋简体" w:eastAsia="方正小标宋简体" w:cs="方正小标宋简体"/>
          <w:b w:val="0"/>
          <w:bCs w:val="0"/>
          <w:sz w:val="44"/>
          <w:szCs w:val="44"/>
          <w:lang w:eastAsia="zh-Hans"/>
        </w:rPr>
        <w:t>章</w:t>
      </w:r>
      <w:bookmarkEnd w:id="23"/>
      <w:bookmarkEnd w:id="24"/>
      <w:bookmarkEnd w:id="25"/>
      <w:bookmarkEnd w:id="26"/>
      <w:bookmarkEnd w:id="27"/>
      <w:bookmarkStart w:id="28" w:name="_Toc351709668"/>
      <w:bookmarkStart w:id="29" w:name="_Toc387137106"/>
      <w:bookmarkStart w:id="30" w:name="_Toc370395469"/>
      <w:bookmarkStart w:id="31" w:name="_Toc454526647"/>
      <w:r>
        <w:rPr>
          <w:rFonts w:hint="eastAsia" w:ascii="方正小标宋简体" w:hAnsi="方正小标宋简体" w:eastAsia="方正小标宋简体" w:cs="方正小标宋简体"/>
          <w:b w:val="0"/>
          <w:bCs w:val="0"/>
          <w:sz w:val="44"/>
          <w:szCs w:val="44"/>
          <w:lang w:eastAsia="zh-Hans"/>
        </w:rPr>
        <w:t xml:space="preserve">  </w:t>
      </w:r>
      <w:r>
        <w:rPr>
          <w:rFonts w:hint="eastAsia" w:ascii="方正小标宋简体" w:hAnsi="方正小标宋简体" w:eastAsia="方正小标宋简体" w:cs="方正小标宋简体"/>
          <w:b w:val="0"/>
          <w:bCs w:val="0"/>
          <w:sz w:val="44"/>
          <w:szCs w:val="44"/>
          <w:lang w:eastAsia="zh-CN"/>
        </w:rPr>
        <w:t>比选申请人</w:t>
      </w:r>
      <w:r>
        <w:rPr>
          <w:rFonts w:hint="eastAsia" w:ascii="方正小标宋简体" w:hAnsi="方正小标宋简体" w:eastAsia="方正小标宋简体" w:cs="方正小标宋简体"/>
          <w:b w:val="0"/>
          <w:bCs w:val="0"/>
          <w:sz w:val="44"/>
          <w:szCs w:val="44"/>
          <w:lang w:eastAsia="zh-Hans"/>
        </w:rPr>
        <w:t>应当提供的相关证明材料</w:t>
      </w:r>
      <w:bookmarkEnd w:id="28"/>
      <w:bookmarkEnd w:id="29"/>
      <w:bookmarkEnd w:id="30"/>
      <w:bookmarkEnd w:id="31"/>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bookmarkStart w:id="32" w:name="_Toc320624223"/>
      <w:bookmarkEnd w:id="32"/>
      <w:bookmarkStart w:id="33" w:name="_Toc320624215"/>
      <w:bookmarkEnd w:id="33"/>
      <w:bookmarkStart w:id="34" w:name="_Toc320624218"/>
      <w:bookmarkEnd w:id="34"/>
      <w:bookmarkStart w:id="35" w:name="_Toc320624220"/>
      <w:bookmarkEnd w:id="35"/>
      <w:bookmarkStart w:id="36" w:name="_Toc320624219"/>
      <w:bookmarkEnd w:id="36"/>
      <w:bookmarkStart w:id="37" w:name="_Toc320624212"/>
      <w:bookmarkEnd w:id="37"/>
      <w:bookmarkStart w:id="38" w:name="_Toc320624214"/>
      <w:bookmarkEnd w:id="38"/>
      <w:bookmarkStart w:id="39" w:name="_Toc320624213"/>
      <w:bookmarkEnd w:id="39"/>
      <w:bookmarkStart w:id="40" w:name="_Toc320624216"/>
      <w:bookmarkEnd w:id="40"/>
      <w:bookmarkStart w:id="41" w:name="_Toc320624222"/>
      <w:bookmarkEnd w:id="41"/>
      <w:bookmarkStart w:id="42" w:name="_Toc320624221"/>
      <w:bookmarkEnd w:id="42"/>
      <w:bookmarkStart w:id="43" w:name="_Toc320624224"/>
      <w:bookmarkEnd w:id="43"/>
      <w:bookmarkStart w:id="44" w:name="_Toc320624217"/>
      <w:bookmarkEnd w:id="44"/>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1.营业执照副本复印件（加盖公章）</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2.开户许可证副本复印件（加盖公章）</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3.法定代表人身份证复印件（</w:t>
      </w:r>
      <w:bookmarkStart w:id="45" w:name="_Hlk127433318"/>
      <w:r>
        <w:rPr>
          <w:rFonts w:hint="eastAsia" w:ascii="仿宋_GB2312" w:hAnsi="仿宋_GB2312" w:eastAsia="仿宋_GB2312" w:cs="仿宋_GB2312"/>
          <w:sz w:val="32"/>
          <w:szCs w:val="32"/>
          <w:lang w:eastAsia="zh-Hans"/>
        </w:rPr>
        <w:t>正反面，</w:t>
      </w:r>
      <w:bookmarkEnd w:id="45"/>
      <w:r>
        <w:rPr>
          <w:rFonts w:hint="eastAsia" w:ascii="仿宋_GB2312" w:hAnsi="仿宋_GB2312" w:eastAsia="仿宋_GB2312" w:cs="仿宋_GB2312"/>
          <w:sz w:val="32"/>
          <w:szCs w:val="32"/>
          <w:lang w:eastAsia="zh-Hans"/>
        </w:rPr>
        <w:t>加盖公章）</w:t>
      </w:r>
    </w:p>
    <w:p>
      <w:pPr>
        <w:pStyle w:val="2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4.代理人身份证复印件（正反面，加盖公章）</w:t>
      </w:r>
    </w:p>
    <w:p>
      <w:pPr>
        <w:pStyle w:val="24"/>
        <w:keepNext w:val="0"/>
        <w:keepLines w:val="0"/>
        <w:pageBreakBefore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Hans"/>
        </w:rPr>
        <w:t>5.</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lang w:eastAsia="zh-Hans"/>
        </w:rPr>
        <w:t>文件</w:t>
      </w:r>
      <w:r>
        <w:rPr>
          <w:rFonts w:hint="eastAsia" w:ascii="仿宋_GB2312" w:hAnsi="仿宋_GB2312" w:eastAsia="仿宋_GB2312" w:cs="仿宋_GB2312"/>
          <w:sz w:val="32"/>
          <w:szCs w:val="32"/>
          <w:lang w:val="en-US" w:eastAsia="zh-CN"/>
        </w:rPr>
        <w:t>中要求的</w:t>
      </w:r>
      <w:r>
        <w:rPr>
          <w:rFonts w:hint="eastAsia" w:ascii="仿宋_GB2312" w:hAnsi="仿宋_GB2312" w:eastAsia="仿宋_GB2312" w:cs="仿宋_GB2312"/>
          <w:sz w:val="32"/>
          <w:szCs w:val="32"/>
          <w:lang w:eastAsia="zh-Hans"/>
        </w:rPr>
        <w:t>其他相应材料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格式自拟）</w:t>
      </w:r>
    </w:p>
    <w:sectPr>
      <w:footerReference r:id="rId8" w:type="first"/>
      <w:footerReference r:id="rId7" w:type="default"/>
      <w:pgSz w:w="11906" w:h="16838"/>
      <w:pgMar w:top="2098" w:right="1474" w:bottom="1984" w:left="1587" w:header="851" w:footer="1701" w:gutter="0"/>
      <w:pgNumType w:fmt="decimal" w:start="1"/>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Segoe Print"/>
    <w:panose1 w:val="020B060402020202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Songti SC">
    <w:altName w:val="宋体"/>
    <w:panose1 w:val="02010600040101010101"/>
    <w:charset w:val="86"/>
    <w:family w:val="auto"/>
    <w:pitch w:val="default"/>
    <w:sig w:usb0="00000000" w:usb1="00000000" w:usb2="00000000" w:usb3="00000000" w:csb0="00160000" w:csb1="00000000"/>
  </w:font>
  <w:font w:name="Times">
    <w:altName w:val="Times New Roman"/>
    <w:panose1 w:val="0000050000000002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ind w:right="360"/>
      <w:rPr>
        <w:rStyle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7"/>
      <w:ind w:right="360"/>
      <w:rPr>
        <w:rStyle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hint="eastAsia" w:cs="Times New Roman"/>
      </w:rPr>
    </w:lvl>
    <w:lvl w:ilvl="2" w:tentative="0">
      <w:start w:val="0"/>
      <w:numFmt w:val="none"/>
      <w:lvlText w:val=""/>
      <w:lvlJc w:val="left"/>
      <w:pPr>
        <w:tabs>
          <w:tab w:val="left" w:pos="360"/>
        </w:tabs>
        <w:ind w:left="0" w:firstLine="0"/>
      </w:pPr>
      <w:rPr>
        <w:rFonts w:hint="eastAsia" w:cs="Times New Roman"/>
      </w:rPr>
    </w:lvl>
    <w:lvl w:ilvl="3" w:tentative="0">
      <w:start w:val="0"/>
      <w:numFmt w:val="none"/>
      <w:lvlText w:val=""/>
      <w:lvlJc w:val="left"/>
      <w:pPr>
        <w:tabs>
          <w:tab w:val="left" w:pos="360"/>
        </w:tabs>
        <w:ind w:left="0" w:firstLine="0"/>
      </w:pPr>
      <w:rPr>
        <w:rFonts w:hint="eastAsia" w:cs="Times New Roman"/>
      </w:rPr>
    </w:lvl>
    <w:lvl w:ilvl="4" w:tentative="0">
      <w:start w:val="0"/>
      <w:numFmt w:val="decimal"/>
      <w:pStyle w:val="34"/>
      <w:lvlText w:val="%5"/>
      <w:lvlJc w:val="left"/>
      <w:pPr>
        <w:ind w:left="0" w:firstLine="0"/>
      </w:pPr>
      <w:rPr>
        <w:rFonts w:hint="eastAsia" w:cs="Times New Roman"/>
      </w:rPr>
    </w:lvl>
    <w:lvl w:ilvl="5" w:tentative="0">
      <w:start w:val="0"/>
      <w:numFmt w:val="decimal"/>
      <w:lvlText w:val=""/>
      <w:lvlJc w:val="left"/>
      <w:pPr>
        <w:ind w:left="0" w:firstLine="0"/>
      </w:pPr>
      <w:rPr>
        <w:rFonts w:hint="eastAsia" w:cs="Times New Roman"/>
      </w:rPr>
    </w:lvl>
    <w:lvl w:ilvl="6" w:tentative="0">
      <w:start w:val="0"/>
      <w:numFmt w:val="decimal"/>
      <w:lvlText w:val=""/>
      <w:lvlJc w:val="left"/>
      <w:pPr>
        <w:ind w:left="0" w:firstLine="0"/>
      </w:pPr>
      <w:rPr>
        <w:rFonts w:hint="eastAsia" w:cs="Times New Roman"/>
      </w:rPr>
    </w:lvl>
    <w:lvl w:ilvl="7" w:tentative="0">
      <w:start w:val="0"/>
      <w:numFmt w:val="decimal"/>
      <w:lvlText w:val=""/>
      <w:lvlJc w:val="left"/>
      <w:pPr>
        <w:ind w:left="0" w:firstLine="0"/>
      </w:pPr>
      <w:rPr>
        <w:rFonts w:hint="eastAsia" w:cs="Times New Roman"/>
      </w:rPr>
    </w:lvl>
    <w:lvl w:ilvl="8" w:tentative="0">
      <w:start w:val="0"/>
      <w:numFmt w:val="decimal"/>
      <w:lvlText w:val=""/>
      <w:lvlJc w:val="left"/>
      <w:pPr>
        <w:ind w:left="0" w:firstLine="0"/>
      </w:pPr>
      <w:rPr>
        <w:rFonts w:hint="eastAsia" w:cs="Times New Roman"/>
      </w:rPr>
    </w:lvl>
  </w:abstractNum>
  <w:abstractNum w:abstractNumId="2">
    <w:nsid w:val="63033850"/>
    <w:multiLevelType w:val="multilevel"/>
    <w:tmpl w:val="63033850"/>
    <w:lvl w:ilvl="0" w:tentative="0">
      <w:start w:val="1"/>
      <w:numFmt w:val="chineseCountingThousand"/>
      <w:pStyle w:val="3"/>
      <w:suff w:val="nothing"/>
      <w:lvlText w:val="第%1章  "/>
      <w:lvlJc w:val="left"/>
      <w:pPr>
        <w:ind w:left="3570" w:firstLine="0"/>
      </w:pPr>
      <w:rPr>
        <w:rFonts w:hint="eastAsia"/>
      </w:rPr>
    </w:lvl>
    <w:lvl w:ilvl="1" w:tentative="0">
      <w:start w:val="1"/>
      <w:numFmt w:val="chineseCountingThousand"/>
      <w:suff w:val="nothing"/>
      <w:lvlText w:val="第%2节"/>
      <w:lvlJc w:val="left"/>
      <w:pPr>
        <w:ind w:left="3570" w:firstLine="0"/>
      </w:pPr>
      <w:rPr>
        <w:rFonts w:hint="eastAsia"/>
      </w:rPr>
    </w:lvl>
    <w:lvl w:ilvl="2" w:tentative="0">
      <w:start w:val="1"/>
      <w:numFmt w:val="none"/>
      <w:suff w:val="nothing"/>
      <w:lvlText w:val=""/>
      <w:lvlJc w:val="left"/>
      <w:pPr>
        <w:ind w:left="3570" w:firstLine="0"/>
      </w:pPr>
      <w:rPr>
        <w:rFonts w:hint="eastAsia"/>
      </w:rPr>
    </w:lvl>
    <w:lvl w:ilvl="3" w:tentative="0">
      <w:start w:val="1"/>
      <w:numFmt w:val="none"/>
      <w:suff w:val="nothing"/>
      <w:lvlText w:val=""/>
      <w:lvlJc w:val="left"/>
      <w:pPr>
        <w:ind w:left="3570" w:firstLine="0"/>
      </w:pPr>
      <w:rPr>
        <w:rFonts w:hint="eastAsia"/>
      </w:rPr>
    </w:lvl>
    <w:lvl w:ilvl="4" w:tentative="0">
      <w:start w:val="1"/>
      <w:numFmt w:val="none"/>
      <w:suff w:val="nothing"/>
      <w:lvlText w:val=""/>
      <w:lvlJc w:val="left"/>
      <w:pPr>
        <w:ind w:left="3570" w:firstLine="0"/>
      </w:pPr>
      <w:rPr>
        <w:rFonts w:hint="eastAsia"/>
      </w:rPr>
    </w:lvl>
    <w:lvl w:ilvl="5" w:tentative="0">
      <w:start w:val="1"/>
      <w:numFmt w:val="none"/>
      <w:suff w:val="nothing"/>
      <w:lvlText w:val=""/>
      <w:lvlJc w:val="left"/>
      <w:pPr>
        <w:ind w:left="3570" w:firstLine="0"/>
      </w:pPr>
      <w:rPr>
        <w:rFonts w:hint="eastAsia"/>
      </w:rPr>
    </w:lvl>
    <w:lvl w:ilvl="6" w:tentative="0">
      <w:start w:val="1"/>
      <w:numFmt w:val="none"/>
      <w:suff w:val="nothing"/>
      <w:lvlText w:val=""/>
      <w:lvlJc w:val="left"/>
      <w:pPr>
        <w:ind w:left="3570" w:firstLine="0"/>
      </w:pPr>
      <w:rPr>
        <w:rFonts w:hint="eastAsia"/>
      </w:rPr>
    </w:lvl>
    <w:lvl w:ilvl="7" w:tentative="0">
      <w:start w:val="1"/>
      <w:numFmt w:val="none"/>
      <w:suff w:val="nothing"/>
      <w:lvlText w:val=""/>
      <w:lvlJc w:val="left"/>
      <w:pPr>
        <w:ind w:left="3570" w:firstLine="0"/>
      </w:pPr>
      <w:rPr>
        <w:rFonts w:hint="eastAsia"/>
      </w:rPr>
    </w:lvl>
    <w:lvl w:ilvl="8" w:tentative="0">
      <w:start w:val="1"/>
      <w:numFmt w:val="none"/>
      <w:suff w:val="nothing"/>
      <w:lvlText w:val=""/>
      <w:lvlJc w:val="left"/>
      <w:pPr>
        <w:ind w:left="357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jYzM3YzAyYzU5MmNjMjU5NTAyZWZhOGM5ZjNhMDYifQ=="/>
  </w:docVars>
  <w:rsids>
    <w:rsidRoot w:val="00172A27"/>
    <w:rsid w:val="0000064F"/>
    <w:rsid w:val="000043FA"/>
    <w:rsid w:val="00006762"/>
    <w:rsid w:val="00006998"/>
    <w:rsid w:val="00007B30"/>
    <w:rsid w:val="00012A18"/>
    <w:rsid w:val="00012B33"/>
    <w:rsid w:val="00030B0E"/>
    <w:rsid w:val="00032074"/>
    <w:rsid w:val="00035DD6"/>
    <w:rsid w:val="000371FC"/>
    <w:rsid w:val="000463C6"/>
    <w:rsid w:val="00053707"/>
    <w:rsid w:val="00054ADA"/>
    <w:rsid w:val="00055362"/>
    <w:rsid w:val="000670DF"/>
    <w:rsid w:val="0007037E"/>
    <w:rsid w:val="00075EA8"/>
    <w:rsid w:val="00080741"/>
    <w:rsid w:val="0008405D"/>
    <w:rsid w:val="00091C8B"/>
    <w:rsid w:val="00091FE4"/>
    <w:rsid w:val="000926B9"/>
    <w:rsid w:val="000A2D43"/>
    <w:rsid w:val="000A37CD"/>
    <w:rsid w:val="000A7B73"/>
    <w:rsid w:val="000B3122"/>
    <w:rsid w:val="000B65C2"/>
    <w:rsid w:val="000C066B"/>
    <w:rsid w:val="000C0BA4"/>
    <w:rsid w:val="000C45FB"/>
    <w:rsid w:val="000C55D0"/>
    <w:rsid w:val="000C5AC5"/>
    <w:rsid w:val="000D26BF"/>
    <w:rsid w:val="000D3D4E"/>
    <w:rsid w:val="000D59E5"/>
    <w:rsid w:val="000E6028"/>
    <w:rsid w:val="000F3C09"/>
    <w:rsid w:val="000F5C82"/>
    <w:rsid w:val="00102A04"/>
    <w:rsid w:val="001046BB"/>
    <w:rsid w:val="001065ED"/>
    <w:rsid w:val="00110843"/>
    <w:rsid w:val="00111BD1"/>
    <w:rsid w:val="00114E7F"/>
    <w:rsid w:val="0012000A"/>
    <w:rsid w:val="0012155A"/>
    <w:rsid w:val="001238C7"/>
    <w:rsid w:val="00126A63"/>
    <w:rsid w:val="00127B4B"/>
    <w:rsid w:val="00137985"/>
    <w:rsid w:val="00144168"/>
    <w:rsid w:val="00145393"/>
    <w:rsid w:val="0015352A"/>
    <w:rsid w:val="00156D31"/>
    <w:rsid w:val="00161962"/>
    <w:rsid w:val="00166254"/>
    <w:rsid w:val="001675AB"/>
    <w:rsid w:val="00171B84"/>
    <w:rsid w:val="0017270A"/>
    <w:rsid w:val="00172A27"/>
    <w:rsid w:val="001740E3"/>
    <w:rsid w:val="00174F46"/>
    <w:rsid w:val="00177AD5"/>
    <w:rsid w:val="00181C24"/>
    <w:rsid w:val="0018310F"/>
    <w:rsid w:val="00187500"/>
    <w:rsid w:val="00187B3D"/>
    <w:rsid w:val="00187B42"/>
    <w:rsid w:val="00190F0E"/>
    <w:rsid w:val="00192258"/>
    <w:rsid w:val="00195E04"/>
    <w:rsid w:val="001A1546"/>
    <w:rsid w:val="001A62BB"/>
    <w:rsid w:val="001B2AB3"/>
    <w:rsid w:val="001C4552"/>
    <w:rsid w:val="001C4C2A"/>
    <w:rsid w:val="001C7CCC"/>
    <w:rsid w:val="001D08A1"/>
    <w:rsid w:val="001D4E37"/>
    <w:rsid w:val="001D5478"/>
    <w:rsid w:val="001D550D"/>
    <w:rsid w:val="001D5B26"/>
    <w:rsid w:val="001D69A9"/>
    <w:rsid w:val="001E2BB2"/>
    <w:rsid w:val="001E340F"/>
    <w:rsid w:val="001E48C5"/>
    <w:rsid w:val="001E6E32"/>
    <w:rsid w:val="001F08ED"/>
    <w:rsid w:val="001F513A"/>
    <w:rsid w:val="001F7102"/>
    <w:rsid w:val="001F766E"/>
    <w:rsid w:val="001F79CC"/>
    <w:rsid w:val="0020452B"/>
    <w:rsid w:val="002063C4"/>
    <w:rsid w:val="00207548"/>
    <w:rsid w:val="00207819"/>
    <w:rsid w:val="002112B9"/>
    <w:rsid w:val="00214BAA"/>
    <w:rsid w:val="00215728"/>
    <w:rsid w:val="00224641"/>
    <w:rsid w:val="002251EA"/>
    <w:rsid w:val="0022564E"/>
    <w:rsid w:val="002369C4"/>
    <w:rsid w:val="002408A6"/>
    <w:rsid w:val="00241AD5"/>
    <w:rsid w:val="0024604C"/>
    <w:rsid w:val="002463CC"/>
    <w:rsid w:val="002564B2"/>
    <w:rsid w:val="00257380"/>
    <w:rsid w:val="002576AC"/>
    <w:rsid w:val="00263496"/>
    <w:rsid w:val="0026763B"/>
    <w:rsid w:val="002725A2"/>
    <w:rsid w:val="002754E3"/>
    <w:rsid w:val="00284F2A"/>
    <w:rsid w:val="002861E7"/>
    <w:rsid w:val="00287781"/>
    <w:rsid w:val="002901BA"/>
    <w:rsid w:val="00294B05"/>
    <w:rsid w:val="0029587F"/>
    <w:rsid w:val="002A1201"/>
    <w:rsid w:val="002A1A10"/>
    <w:rsid w:val="002A486F"/>
    <w:rsid w:val="002A5092"/>
    <w:rsid w:val="002A5137"/>
    <w:rsid w:val="002A5C52"/>
    <w:rsid w:val="002A7925"/>
    <w:rsid w:val="002B04F8"/>
    <w:rsid w:val="002B097B"/>
    <w:rsid w:val="002B4040"/>
    <w:rsid w:val="002B64B7"/>
    <w:rsid w:val="002B6E7F"/>
    <w:rsid w:val="002C21C4"/>
    <w:rsid w:val="002C57EF"/>
    <w:rsid w:val="002D3E2F"/>
    <w:rsid w:val="002D630D"/>
    <w:rsid w:val="002E079F"/>
    <w:rsid w:val="002F2CAE"/>
    <w:rsid w:val="002F71E4"/>
    <w:rsid w:val="00304299"/>
    <w:rsid w:val="00305AFE"/>
    <w:rsid w:val="00311398"/>
    <w:rsid w:val="003116B0"/>
    <w:rsid w:val="003133F8"/>
    <w:rsid w:val="00315803"/>
    <w:rsid w:val="00321852"/>
    <w:rsid w:val="003225C6"/>
    <w:rsid w:val="00322A43"/>
    <w:rsid w:val="00325A3A"/>
    <w:rsid w:val="0032698F"/>
    <w:rsid w:val="00327070"/>
    <w:rsid w:val="00333AF8"/>
    <w:rsid w:val="00343960"/>
    <w:rsid w:val="00352F8A"/>
    <w:rsid w:val="0036194E"/>
    <w:rsid w:val="00365308"/>
    <w:rsid w:val="00366515"/>
    <w:rsid w:val="0037025B"/>
    <w:rsid w:val="00370DF2"/>
    <w:rsid w:val="003733B8"/>
    <w:rsid w:val="003832F1"/>
    <w:rsid w:val="003861F3"/>
    <w:rsid w:val="0039044E"/>
    <w:rsid w:val="003A3FE8"/>
    <w:rsid w:val="003A7294"/>
    <w:rsid w:val="003B0C6C"/>
    <w:rsid w:val="003B1926"/>
    <w:rsid w:val="003B2BF5"/>
    <w:rsid w:val="003D1D93"/>
    <w:rsid w:val="003D1F86"/>
    <w:rsid w:val="003D6D22"/>
    <w:rsid w:val="003D7F01"/>
    <w:rsid w:val="003E121A"/>
    <w:rsid w:val="003E733E"/>
    <w:rsid w:val="003F1161"/>
    <w:rsid w:val="003F202D"/>
    <w:rsid w:val="003F6A84"/>
    <w:rsid w:val="003F72C9"/>
    <w:rsid w:val="0040003B"/>
    <w:rsid w:val="004034C3"/>
    <w:rsid w:val="0041752D"/>
    <w:rsid w:val="00421D30"/>
    <w:rsid w:val="00424A80"/>
    <w:rsid w:val="004254AF"/>
    <w:rsid w:val="004305DB"/>
    <w:rsid w:val="00434CD8"/>
    <w:rsid w:val="00434E0E"/>
    <w:rsid w:val="00442606"/>
    <w:rsid w:val="00445236"/>
    <w:rsid w:val="00446702"/>
    <w:rsid w:val="0044695E"/>
    <w:rsid w:val="00452339"/>
    <w:rsid w:val="00456E6B"/>
    <w:rsid w:val="004579B4"/>
    <w:rsid w:val="004624A9"/>
    <w:rsid w:val="00467EC8"/>
    <w:rsid w:val="00472240"/>
    <w:rsid w:val="004745D3"/>
    <w:rsid w:val="00474D9F"/>
    <w:rsid w:val="00475FD4"/>
    <w:rsid w:val="004802CC"/>
    <w:rsid w:val="0048565E"/>
    <w:rsid w:val="0049082B"/>
    <w:rsid w:val="0049745A"/>
    <w:rsid w:val="004A77D6"/>
    <w:rsid w:val="004B0B02"/>
    <w:rsid w:val="004B2EBA"/>
    <w:rsid w:val="004C4244"/>
    <w:rsid w:val="004C4C5B"/>
    <w:rsid w:val="004C4DAE"/>
    <w:rsid w:val="004D38BC"/>
    <w:rsid w:val="004D419B"/>
    <w:rsid w:val="004E2498"/>
    <w:rsid w:val="004E36B5"/>
    <w:rsid w:val="004E78FC"/>
    <w:rsid w:val="004F0630"/>
    <w:rsid w:val="004F4C90"/>
    <w:rsid w:val="004F7CF2"/>
    <w:rsid w:val="004F7D94"/>
    <w:rsid w:val="005010AE"/>
    <w:rsid w:val="00505DA2"/>
    <w:rsid w:val="005103C9"/>
    <w:rsid w:val="00510926"/>
    <w:rsid w:val="00512877"/>
    <w:rsid w:val="00513D1F"/>
    <w:rsid w:val="005142F5"/>
    <w:rsid w:val="00526A5A"/>
    <w:rsid w:val="005324B6"/>
    <w:rsid w:val="00534013"/>
    <w:rsid w:val="00534CBE"/>
    <w:rsid w:val="00536EE6"/>
    <w:rsid w:val="0054429F"/>
    <w:rsid w:val="0054642E"/>
    <w:rsid w:val="00546EF7"/>
    <w:rsid w:val="00546FE9"/>
    <w:rsid w:val="00552C30"/>
    <w:rsid w:val="00553592"/>
    <w:rsid w:val="005538BF"/>
    <w:rsid w:val="00554916"/>
    <w:rsid w:val="0055643A"/>
    <w:rsid w:val="005621ED"/>
    <w:rsid w:val="005668CD"/>
    <w:rsid w:val="0057055D"/>
    <w:rsid w:val="00573C04"/>
    <w:rsid w:val="005768E3"/>
    <w:rsid w:val="005862B9"/>
    <w:rsid w:val="005B1C68"/>
    <w:rsid w:val="005B7053"/>
    <w:rsid w:val="005C3FEF"/>
    <w:rsid w:val="005C500C"/>
    <w:rsid w:val="005C553E"/>
    <w:rsid w:val="005C57D1"/>
    <w:rsid w:val="005C726E"/>
    <w:rsid w:val="005D1813"/>
    <w:rsid w:val="005E1195"/>
    <w:rsid w:val="005E2A67"/>
    <w:rsid w:val="005E5CAB"/>
    <w:rsid w:val="005F40CA"/>
    <w:rsid w:val="005F5D1E"/>
    <w:rsid w:val="005F6535"/>
    <w:rsid w:val="0060009B"/>
    <w:rsid w:val="006106C2"/>
    <w:rsid w:val="00616FA5"/>
    <w:rsid w:val="00622091"/>
    <w:rsid w:val="00624603"/>
    <w:rsid w:val="00627E2F"/>
    <w:rsid w:val="00632346"/>
    <w:rsid w:val="006404F8"/>
    <w:rsid w:val="00646113"/>
    <w:rsid w:val="006476AA"/>
    <w:rsid w:val="0066275D"/>
    <w:rsid w:val="00664249"/>
    <w:rsid w:val="00666BD7"/>
    <w:rsid w:val="006702CC"/>
    <w:rsid w:val="006712A2"/>
    <w:rsid w:val="006724F5"/>
    <w:rsid w:val="00672929"/>
    <w:rsid w:val="00672C3A"/>
    <w:rsid w:val="00677757"/>
    <w:rsid w:val="006809AB"/>
    <w:rsid w:val="0068142A"/>
    <w:rsid w:val="00682C5C"/>
    <w:rsid w:val="00683D6C"/>
    <w:rsid w:val="00684E3F"/>
    <w:rsid w:val="00690A8B"/>
    <w:rsid w:val="0069295E"/>
    <w:rsid w:val="006940AF"/>
    <w:rsid w:val="00694345"/>
    <w:rsid w:val="00694538"/>
    <w:rsid w:val="00696F77"/>
    <w:rsid w:val="00697C71"/>
    <w:rsid w:val="006A0CB1"/>
    <w:rsid w:val="006A33D7"/>
    <w:rsid w:val="006B1D68"/>
    <w:rsid w:val="006C29EB"/>
    <w:rsid w:val="006C4387"/>
    <w:rsid w:val="006C5237"/>
    <w:rsid w:val="006C59CA"/>
    <w:rsid w:val="006D1C89"/>
    <w:rsid w:val="006D1F7A"/>
    <w:rsid w:val="006D2CC4"/>
    <w:rsid w:val="006D756A"/>
    <w:rsid w:val="006E3E1B"/>
    <w:rsid w:val="006E5E20"/>
    <w:rsid w:val="006F28F6"/>
    <w:rsid w:val="006F2FD7"/>
    <w:rsid w:val="006F507A"/>
    <w:rsid w:val="00702EC6"/>
    <w:rsid w:val="007033B5"/>
    <w:rsid w:val="00705EE0"/>
    <w:rsid w:val="00713408"/>
    <w:rsid w:val="007149E8"/>
    <w:rsid w:val="0073547C"/>
    <w:rsid w:val="00741117"/>
    <w:rsid w:val="00743CEF"/>
    <w:rsid w:val="00744496"/>
    <w:rsid w:val="00752672"/>
    <w:rsid w:val="007537F1"/>
    <w:rsid w:val="0075598B"/>
    <w:rsid w:val="00760693"/>
    <w:rsid w:val="0076334F"/>
    <w:rsid w:val="00766580"/>
    <w:rsid w:val="00773347"/>
    <w:rsid w:val="00776A35"/>
    <w:rsid w:val="0078069A"/>
    <w:rsid w:val="00781525"/>
    <w:rsid w:val="0078378B"/>
    <w:rsid w:val="00785698"/>
    <w:rsid w:val="00793415"/>
    <w:rsid w:val="0079423C"/>
    <w:rsid w:val="007964B6"/>
    <w:rsid w:val="00797A76"/>
    <w:rsid w:val="007A0BE2"/>
    <w:rsid w:val="007A0CC4"/>
    <w:rsid w:val="007A0EBE"/>
    <w:rsid w:val="007B2C25"/>
    <w:rsid w:val="007B5C1C"/>
    <w:rsid w:val="007C0335"/>
    <w:rsid w:val="007C16EA"/>
    <w:rsid w:val="007C3767"/>
    <w:rsid w:val="007C4498"/>
    <w:rsid w:val="007C6654"/>
    <w:rsid w:val="007D5BF8"/>
    <w:rsid w:val="007D5CB3"/>
    <w:rsid w:val="007D6E2D"/>
    <w:rsid w:val="007E60E3"/>
    <w:rsid w:val="007F3E6F"/>
    <w:rsid w:val="007F3EF5"/>
    <w:rsid w:val="007F4BF7"/>
    <w:rsid w:val="008025BD"/>
    <w:rsid w:val="008077EB"/>
    <w:rsid w:val="00812B37"/>
    <w:rsid w:val="00812B55"/>
    <w:rsid w:val="00814A5A"/>
    <w:rsid w:val="0081709D"/>
    <w:rsid w:val="008171BD"/>
    <w:rsid w:val="00817C23"/>
    <w:rsid w:val="00823089"/>
    <w:rsid w:val="0082311F"/>
    <w:rsid w:val="00830E94"/>
    <w:rsid w:val="00834D69"/>
    <w:rsid w:val="00840B1F"/>
    <w:rsid w:val="008464E8"/>
    <w:rsid w:val="008536C4"/>
    <w:rsid w:val="00855FA2"/>
    <w:rsid w:val="00856D09"/>
    <w:rsid w:val="00862A5A"/>
    <w:rsid w:val="00864A38"/>
    <w:rsid w:val="0086741F"/>
    <w:rsid w:val="00876C1E"/>
    <w:rsid w:val="00880D6D"/>
    <w:rsid w:val="00880EB7"/>
    <w:rsid w:val="008844CE"/>
    <w:rsid w:val="0088730A"/>
    <w:rsid w:val="008908DB"/>
    <w:rsid w:val="00890AB9"/>
    <w:rsid w:val="00890AC0"/>
    <w:rsid w:val="0089246F"/>
    <w:rsid w:val="00892DFF"/>
    <w:rsid w:val="008955F3"/>
    <w:rsid w:val="008A1F07"/>
    <w:rsid w:val="008A5C03"/>
    <w:rsid w:val="008B6CC9"/>
    <w:rsid w:val="008B7690"/>
    <w:rsid w:val="008B7860"/>
    <w:rsid w:val="008C2032"/>
    <w:rsid w:val="008C25BE"/>
    <w:rsid w:val="008C3339"/>
    <w:rsid w:val="008C3EFD"/>
    <w:rsid w:val="008C6E21"/>
    <w:rsid w:val="008E1F2A"/>
    <w:rsid w:val="008F0315"/>
    <w:rsid w:val="008F05AB"/>
    <w:rsid w:val="008F05DF"/>
    <w:rsid w:val="008F3B71"/>
    <w:rsid w:val="00901118"/>
    <w:rsid w:val="0090263B"/>
    <w:rsid w:val="00904900"/>
    <w:rsid w:val="009065B8"/>
    <w:rsid w:val="00906A19"/>
    <w:rsid w:val="009100BF"/>
    <w:rsid w:val="00910560"/>
    <w:rsid w:val="00921A7E"/>
    <w:rsid w:val="00921B6B"/>
    <w:rsid w:val="00922D4F"/>
    <w:rsid w:val="00925B9C"/>
    <w:rsid w:val="00926FA6"/>
    <w:rsid w:val="00934393"/>
    <w:rsid w:val="00944294"/>
    <w:rsid w:val="0094539D"/>
    <w:rsid w:val="00946438"/>
    <w:rsid w:val="00961662"/>
    <w:rsid w:val="00962CEE"/>
    <w:rsid w:val="00963376"/>
    <w:rsid w:val="00964429"/>
    <w:rsid w:val="00967AE2"/>
    <w:rsid w:val="00982E8B"/>
    <w:rsid w:val="00983356"/>
    <w:rsid w:val="009957CA"/>
    <w:rsid w:val="00995FF6"/>
    <w:rsid w:val="009A08EB"/>
    <w:rsid w:val="009A0BD3"/>
    <w:rsid w:val="009A20B8"/>
    <w:rsid w:val="009A2F00"/>
    <w:rsid w:val="009A465E"/>
    <w:rsid w:val="009B2074"/>
    <w:rsid w:val="009B27F2"/>
    <w:rsid w:val="009B5800"/>
    <w:rsid w:val="009B625F"/>
    <w:rsid w:val="009C7A2D"/>
    <w:rsid w:val="009D4AA0"/>
    <w:rsid w:val="009E6509"/>
    <w:rsid w:val="009E7254"/>
    <w:rsid w:val="009F28B0"/>
    <w:rsid w:val="009F3E65"/>
    <w:rsid w:val="009F514C"/>
    <w:rsid w:val="00A12408"/>
    <w:rsid w:val="00A131F7"/>
    <w:rsid w:val="00A13334"/>
    <w:rsid w:val="00A1753C"/>
    <w:rsid w:val="00A176FC"/>
    <w:rsid w:val="00A2203E"/>
    <w:rsid w:val="00A22B00"/>
    <w:rsid w:val="00A27D20"/>
    <w:rsid w:val="00A37A1F"/>
    <w:rsid w:val="00A5026C"/>
    <w:rsid w:val="00A657CC"/>
    <w:rsid w:val="00A67090"/>
    <w:rsid w:val="00A727A5"/>
    <w:rsid w:val="00A776D1"/>
    <w:rsid w:val="00A8479F"/>
    <w:rsid w:val="00A937AC"/>
    <w:rsid w:val="00A94E5E"/>
    <w:rsid w:val="00A9669E"/>
    <w:rsid w:val="00AA4DB6"/>
    <w:rsid w:val="00AB2B25"/>
    <w:rsid w:val="00AB5180"/>
    <w:rsid w:val="00AB7F17"/>
    <w:rsid w:val="00AC21A3"/>
    <w:rsid w:val="00AC2876"/>
    <w:rsid w:val="00AC3582"/>
    <w:rsid w:val="00AD3F03"/>
    <w:rsid w:val="00AD6273"/>
    <w:rsid w:val="00AD7395"/>
    <w:rsid w:val="00AE28F1"/>
    <w:rsid w:val="00AE471D"/>
    <w:rsid w:val="00AE5D5A"/>
    <w:rsid w:val="00AE6040"/>
    <w:rsid w:val="00AE6258"/>
    <w:rsid w:val="00AF1189"/>
    <w:rsid w:val="00AF657E"/>
    <w:rsid w:val="00AF658A"/>
    <w:rsid w:val="00AF799E"/>
    <w:rsid w:val="00B05F0B"/>
    <w:rsid w:val="00B10A70"/>
    <w:rsid w:val="00B14555"/>
    <w:rsid w:val="00B15C3E"/>
    <w:rsid w:val="00B15D05"/>
    <w:rsid w:val="00B20373"/>
    <w:rsid w:val="00B23073"/>
    <w:rsid w:val="00B24718"/>
    <w:rsid w:val="00B256D6"/>
    <w:rsid w:val="00B257CB"/>
    <w:rsid w:val="00B26A8D"/>
    <w:rsid w:val="00B27424"/>
    <w:rsid w:val="00B31D09"/>
    <w:rsid w:val="00B31FCD"/>
    <w:rsid w:val="00B35030"/>
    <w:rsid w:val="00B362F0"/>
    <w:rsid w:val="00B36BB1"/>
    <w:rsid w:val="00B41280"/>
    <w:rsid w:val="00B42083"/>
    <w:rsid w:val="00B43D46"/>
    <w:rsid w:val="00B456DF"/>
    <w:rsid w:val="00B460FE"/>
    <w:rsid w:val="00B47362"/>
    <w:rsid w:val="00B52071"/>
    <w:rsid w:val="00B53319"/>
    <w:rsid w:val="00B56A1C"/>
    <w:rsid w:val="00B57D40"/>
    <w:rsid w:val="00B60038"/>
    <w:rsid w:val="00B673D5"/>
    <w:rsid w:val="00B77397"/>
    <w:rsid w:val="00B80611"/>
    <w:rsid w:val="00B81DAA"/>
    <w:rsid w:val="00B849AB"/>
    <w:rsid w:val="00B90F16"/>
    <w:rsid w:val="00B92171"/>
    <w:rsid w:val="00BA0D41"/>
    <w:rsid w:val="00BA49C2"/>
    <w:rsid w:val="00BA4B8D"/>
    <w:rsid w:val="00BB326D"/>
    <w:rsid w:val="00BB546A"/>
    <w:rsid w:val="00BB7D14"/>
    <w:rsid w:val="00BB7FC8"/>
    <w:rsid w:val="00BC0FF9"/>
    <w:rsid w:val="00BC340D"/>
    <w:rsid w:val="00BD2E2A"/>
    <w:rsid w:val="00BF2B6B"/>
    <w:rsid w:val="00BF7FE2"/>
    <w:rsid w:val="00C05231"/>
    <w:rsid w:val="00C15E29"/>
    <w:rsid w:val="00C16E83"/>
    <w:rsid w:val="00C2097B"/>
    <w:rsid w:val="00C21E92"/>
    <w:rsid w:val="00C24155"/>
    <w:rsid w:val="00C26446"/>
    <w:rsid w:val="00C342FD"/>
    <w:rsid w:val="00C36E5E"/>
    <w:rsid w:val="00C377B0"/>
    <w:rsid w:val="00C426F9"/>
    <w:rsid w:val="00C42C62"/>
    <w:rsid w:val="00C45A00"/>
    <w:rsid w:val="00C4671A"/>
    <w:rsid w:val="00C47C23"/>
    <w:rsid w:val="00C502ED"/>
    <w:rsid w:val="00C51BC0"/>
    <w:rsid w:val="00C5738D"/>
    <w:rsid w:val="00C57D67"/>
    <w:rsid w:val="00C67BC9"/>
    <w:rsid w:val="00C70E27"/>
    <w:rsid w:val="00C77B2C"/>
    <w:rsid w:val="00C853F0"/>
    <w:rsid w:val="00C911F5"/>
    <w:rsid w:val="00C96BE1"/>
    <w:rsid w:val="00CA4265"/>
    <w:rsid w:val="00CA450B"/>
    <w:rsid w:val="00CA746F"/>
    <w:rsid w:val="00CB522E"/>
    <w:rsid w:val="00CB6416"/>
    <w:rsid w:val="00CC0F67"/>
    <w:rsid w:val="00CC1217"/>
    <w:rsid w:val="00CC3660"/>
    <w:rsid w:val="00CC3721"/>
    <w:rsid w:val="00CC50BE"/>
    <w:rsid w:val="00CD33C5"/>
    <w:rsid w:val="00CD7C23"/>
    <w:rsid w:val="00CE1BF1"/>
    <w:rsid w:val="00CE4679"/>
    <w:rsid w:val="00CE6C57"/>
    <w:rsid w:val="00CE6FA5"/>
    <w:rsid w:val="00CF3A0E"/>
    <w:rsid w:val="00CF58B9"/>
    <w:rsid w:val="00CF610F"/>
    <w:rsid w:val="00CF6BD9"/>
    <w:rsid w:val="00CF7AEC"/>
    <w:rsid w:val="00D011D0"/>
    <w:rsid w:val="00D11EE6"/>
    <w:rsid w:val="00D1432E"/>
    <w:rsid w:val="00D1456B"/>
    <w:rsid w:val="00D16379"/>
    <w:rsid w:val="00D26BEE"/>
    <w:rsid w:val="00D277CB"/>
    <w:rsid w:val="00D35C41"/>
    <w:rsid w:val="00D36EB5"/>
    <w:rsid w:val="00D469E2"/>
    <w:rsid w:val="00D47CB1"/>
    <w:rsid w:val="00D5038A"/>
    <w:rsid w:val="00D51F64"/>
    <w:rsid w:val="00D52B9C"/>
    <w:rsid w:val="00D55154"/>
    <w:rsid w:val="00D62119"/>
    <w:rsid w:val="00D91355"/>
    <w:rsid w:val="00D9299D"/>
    <w:rsid w:val="00D92F29"/>
    <w:rsid w:val="00D97191"/>
    <w:rsid w:val="00DA0712"/>
    <w:rsid w:val="00DA45C4"/>
    <w:rsid w:val="00DA7575"/>
    <w:rsid w:val="00DB2FE1"/>
    <w:rsid w:val="00DC0A71"/>
    <w:rsid w:val="00DC1B9F"/>
    <w:rsid w:val="00DC2F7C"/>
    <w:rsid w:val="00DC539F"/>
    <w:rsid w:val="00DD20D1"/>
    <w:rsid w:val="00DD4A7E"/>
    <w:rsid w:val="00DE3DF6"/>
    <w:rsid w:val="00DF7003"/>
    <w:rsid w:val="00E0460E"/>
    <w:rsid w:val="00E13884"/>
    <w:rsid w:val="00E175C6"/>
    <w:rsid w:val="00E17EAD"/>
    <w:rsid w:val="00E21D9F"/>
    <w:rsid w:val="00E23518"/>
    <w:rsid w:val="00E24E52"/>
    <w:rsid w:val="00E26419"/>
    <w:rsid w:val="00E30B2C"/>
    <w:rsid w:val="00E35846"/>
    <w:rsid w:val="00E36C3D"/>
    <w:rsid w:val="00E37E8E"/>
    <w:rsid w:val="00E4270A"/>
    <w:rsid w:val="00E4283A"/>
    <w:rsid w:val="00E46FC9"/>
    <w:rsid w:val="00E47D35"/>
    <w:rsid w:val="00E57270"/>
    <w:rsid w:val="00E6303A"/>
    <w:rsid w:val="00E6548F"/>
    <w:rsid w:val="00E67617"/>
    <w:rsid w:val="00E72DD4"/>
    <w:rsid w:val="00E7416F"/>
    <w:rsid w:val="00E854DF"/>
    <w:rsid w:val="00E86426"/>
    <w:rsid w:val="00E91CC3"/>
    <w:rsid w:val="00E950B7"/>
    <w:rsid w:val="00E95647"/>
    <w:rsid w:val="00EA55CC"/>
    <w:rsid w:val="00EA5A94"/>
    <w:rsid w:val="00EA6C91"/>
    <w:rsid w:val="00EA6CB5"/>
    <w:rsid w:val="00EB19F3"/>
    <w:rsid w:val="00EB6DA2"/>
    <w:rsid w:val="00EB7551"/>
    <w:rsid w:val="00EB7635"/>
    <w:rsid w:val="00ED2AFA"/>
    <w:rsid w:val="00ED32D4"/>
    <w:rsid w:val="00ED3E5B"/>
    <w:rsid w:val="00ED76BE"/>
    <w:rsid w:val="00EE6328"/>
    <w:rsid w:val="00EF647E"/>
    <w:rsid w:val="00F035C2"/>
    <w:rsid w:val="00F03AF4"/>
    <w:rsid w:val="00F04096"/>
    <w:rsid w:val="00F078EF"/>
    <w:rsid w:val="00F2063F"/>
    <w:rsid w:val="00F20CAA"/>
    <w:rsid w:val="00F2335B"/>
    <w:rsid w:val="00F23414"/>
    <w:rsid w:val="00F2703A"/>
    <w:rsid w:val="00F30181"/>
    <w:rsid w:val="00F55DCB"/>
    <w:rsid w:val="00F60DB3"/>
    <w:rsid w:val="00F650DE"/>
    <w:rsid w:val="00F6539B"/>
    <w:rsid w:val="00F676B4"/>
    <w:rsid w:val="00F67C1D"/>
    <w:rsid w:val="00F704BE"/>
    <w:rsid w:val="00F722C9"/>
    <w:rsid w:val="00F73FAA"/>
    <w:rsid w:val="00F74F34"/>
    <w:rsid w:val="00F752D0"/>
    <w:rsid w:val="00F760CA"/>
    <w:rsid w:val="00F76193"/>
    <w:rsid w:val="00F7626F"/>
    <w:rsid w:val="00F83C66"/>
    <w:rsid w:val="00F841F6"/>
    <w:rsid w:val="00F94DD4"/>
    <w:rsid w:val="00FA6675"/>
    <w:rsid w:val="00FA79ED"/>
    <w:rsid w:val="00FB3B41"/>
    <w:rsid w:val="00FB71DC"/>
    <w:rsid w:val="00FB7522"/>
    <w:rsid w:val="00FC13F2"/>
    <w:rsid w:val="00FC2A80"/>
    <w:rsid w:val="00FC2E2A"/>
    <w:rsid w:val="00FC3479"/>
    <w:rsid w:val="00FC480D"/>
    <w:rsid w:val="00FD3CAC"/>
    <w:rsid w:val="00FD43CD"/>
    <w:rsid w:val="00FE2A9A"/>
    <w:rsid w:val="00FF02EE"/>
    <w:rsid w:val="00FF53B6"/>
    <w:rsid w:val="015E25CB"/>
    <w:rsid w:val="01A42DE8"/>
    <w:rsid w:val="046108DE"/>
    <w:rsid w:val="06C50B15"/>
    <w:rsid w:val="087827C0"/>
    <w:rsid w:val="09AA4DA2"/>
    <w:rsid w:val="0A0E041C"/>
    <w:rsid w:val="0B152A79"/>
    <w:rsid w:val="0D8F3FB1"/>
    <w:rsid w:val="0DEC600E"/>
    <w:rsid w:val="0E521EBF"/>
    <w:rsid w:val="0ED00978"/>
    <w:rsid w:val="108325AC"/>
    <w:rsid w:val="12514838"/>
    <w:rsid w:val="14590B70"/>
    <w:rsid w:val="14917E22"/>
    <w:rsid w:val="15DD2972"/>
    <w:rsid w:val="16B172FF"/>
    <w:rsid w:val="17AC260E"/>
    <w:rsid w:val="19622099"/>
    <w:rsid w:val="1D9A352C"/>
    <w:rsid w:val="1DC33F5B"/>
    <w:rsid w:val="1E2B039E"/>
    <w:rsid w:val="1F5A3172"/>
    <w:rsid w:val="2293083F"/>
    <w:rsid w:val="261F386C"/>
    <w:rsid w:val="269F22FA"/>
    <w:rsid w:val="271437A4"/>
    <w:rsid w:val="273F91A2"/>
    <w:rsid w:val="27F2746C"/>
    <w:rsid w:val="282A588E"/>
    <w:rsid w:val="2A02387B"/>
    <w:rsid w:val="2A970A31"/>
    <w:rsid w:val="2B08148B"/>
    <w:rsid w:val="2BB75BDB"/>
    <w:rsid w:val="2C0631AD"/>
    <w:rsid w:val="2C9E30CA"/>
    <w:rsid w:val="2CAF0F3A"/>
    <w:rsid w:val="2D9708A4"/>
    <w:rsid w:val="2DE92933"/>
    <w:rsid w:val="2F1A1856"/>
    <w:rsid w:val="2FF62E7D"/>
    <w:rsid w:val="2FFA4F2D"/>
    <w:rsid w:val="304E5BB5"/>
    <w:rsid w:val="31725BAE"/>
    <w:rsid w:val="31E26CDE"/>
    <w:rsid w:val="327F16F0"/>
    <w:rsid w:val="339A03FF"/>
    <w:rsid w:val="33C469F4"/>
    <w:rsid w:val="36661B2B"/>
    <w:rsid w:val="373E0325"/>
    <w:rsid w:val="384018E7"/>
    <w:rsid w:val="38EB1587"/>
    <w:rsid w:val="39B05CB5"/>
    <w:rsid w:val="3A1A417A"/>
    <w:rsid w:val="3B465B81"/>
    <w:rsid w:val="3BF044DD"/>
    <w:rsid w:val="3C216BB8"/>
    <w:rsid w:val="3CB94935"/>
    <w:rsid w:val="3E193B32"/>
    <w:rsid w:val="3E4D45C0"/>
    <w:rsid w:val="3F0F4E86"/>
    <w:rsid w:val="3F405A91"/>
    <w:rsid w:val="3FDFC720"/>
    <w:rsid w:val="3FFD8E40"/>
    <w:rsid w:val="42CE33FD"/>
    <w:rsid w:val="450D3987"/>
    <w:rsid w:val="457C4274"/>
    <w:rsid w:val="46710DEB"/>
    <w:rsid w:val="484F470F"/>
    <w:rsid w:val="48635F8D"/>
    <w:rsid w:val="497100EF"/>
    <w:rsid w:val="4AE91FAB"/>
    <w:rsid w:val="4C352FB5"/>
    <w:rsid w:val="4CD30B7F"/>
    <w:rsid w:val="4D104B2E"/>
    <w:rsid w:val="4E337D48"/>
    <w:rsid w:val="4EB3121F"/>
    <w:rsid w:val="4EF9391E"/>
    <w:rsid w:val="4F034BF4"/>
    <w:rsid w:val="4FCADAEE"/>
    <w:rsid w:val="522B1438"/>
    <w:rsid w:val="533F210F"/>
    <w:rsid w:val="53D668E4"/>
    <w:rsid w:val="548E6245"/>
    <w:rsid w:val="56044479"/>
    <w:rsid w:val="56C40A5B"/>
    <w:rsid w:val="570F555F"/>
    <w:rsid w:val="577E2CED"/>
    <w:rsid w:val="59AC7A6F"/>
    <w:rsid w:val="59E36A9C"/>
    <w:rsid w:val="5C444BF9"/>
    <w:rsid w:val="5D97D64C"/>
    <w:rsid w:val="5DF4189B"/>
    <w:rsid w:val="5EA70769"/>
    <w:rsid w:val="5EFF4E2E"/>
    <w:rsid w:val="5F962EEA"/>
    <w:rsid w:val="61271F78"/>
    <w:rsid w:val="61D349D1"/>
    <w:rsid w:val="635B2C28"/>
    <w:rsid w:val="640C39E7"/>
    <w:rsid w:val="64CF26EF"/>
    <w:rsid w:val="65B71453"/>
    <w:rsid w:val="65D048AA"/>
    <w:rsid w:val="672E768B"/>
    <w:rsid w:val="67801432"/>
    <w:rsid w:val="688E69E8"/>
    <w:rsid w:val="689D25BF"/>
    <w:rsid w:val="690F2BAF"/>
    <w:rsid w:val="69482E69"/>
    <w:rsid w:val="698267D4"/>
    <w:rsid w:val="69F55BB4"/>
    <w:rsid w:val="6C9D0EAF"/>
    <w:rsid w:val="6CB73133"/>
    <w:rsid w:val="6E670C1E"/>
    <w:rsid w:val="6EFFB075"/>
    <w:rsid w:val="700E1544"/>
    <w:rsid w:val="73761AFD"/>
    <w:rsid w:val="745C2567"/>
    <w:rsid w:val="74DB326E"/>
    <w:rsid w:val="764D3D5E"/>
    <w:rsid w:val="7870077B"/>
    <w:rsid w:val="79D43ABA"/>
    <w:rsid w:val="7BA16DBE"/>
    <w:rsid w:val="7C0A626E"/>
    <w:rsid w:val="7D7DAF2C"/>
    <w:rsid w:val="7DE74097"/>
    <w:rsid w:val="7E1F85DC"/>
    <w:rsid w:val="7EDB2717"/>
    <w:rsid w:val="7F5620B0"/>
    <w:rsid w:val="7F7E35E0"/>
    <w:rsid w:val="BBD76C18"/>
    <w:rsid w:val="DEFF8CBD"/>
    <w:rsid w:val="DFA730A4"/>
    <w:rsid w:val="DFE709C1"/>
    <w:rsid w:val="E5F756D1"/>
    <w:rsid w:val="FA345F07"/>
    <w:rsid w:val="FE7A8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36"/>
    <w:qFormat/>
    <w:uiPriority w:val="0"/>
    <w:pPr>
      <w:numPr>
        <w:ilvl w:val="0"/>
        <w:numId w:val="2"/>
      </w:numPr>
      <w:tabs>
        <w:tab w:val="left" w:pos="480"/>
      </w:tabs>
      <w:snapToGrid w:val="0"/>
      <w:spacing w:before="120" w:after="120" w:line="400" w:lineRule="exact"/>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paragraph" w:styleId="7">
    <w:name w:val="heading 7"/>
    <w:basedOn w:val="1"/>
    <w:next w:val="1"/>
    <w:link w:val="50"/>
    <w:qFormat/>
    <w:uiPriority w:val="0"/>
    <w:pPr>
      <w:keepNext/>
      <w:keepLines/>
      <w:spacing w:before="240" w:after="64" w:line="320" w:lineRule="auto"/>
      <w:outlineLvl w:val="6"/>
    </w:pPr>
    <w:rPr>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Document Map"/>
    <w:basedOn w:val="1"/>
    <w:next w:val="1"/>
    <w:qFormat/>
    <w:uiPriority w:val="99"/>
    <w:pPr>
      <w:ind w:firstLine="723"/>
    </w:pPr>
    <w:rPr>
      <w:rFonts w:ascii="宋体" w:hAnsi="宋体" w:eastAsia="宋体"/>
      <w:kern w:val="0"/>
      <w:sz w:val="30"/>
      <w:szCs w:val="18"/>
    </w:rPr>
  </w:style>
  <w:style w:type="paragraph" w:styleId="8">
    <w:name w:val="Normal Indent"/>
    <w:basedOn w:val="1"/>
    <w:next w:val="1"/>
    <w:qFormat/>
    <w:uiPriority w:val="0"/>
    <w:pPr>
      <w:adjustRightInd w:val="0"/>
      <w:spacing w:line="315" w:lineRule="atLeast"/>
      <w:ind w:firstLine="420"/>
      <w:textAlignment w:val="baseline"/>
    </w:pPr>
    <w:rPr>
      <w:rFonts w:ascii="宋体"/>
      <w:kern w:val="0"/>
      <w:sz w:val="24"/>
      <w:szCs w:val="20"/>
    </w:rPr>
  </w:style>
  <w:style w:type="paragraph" w:styleId="9">
    <w:name w:val="annotation text"/>
    <w:basedOn w:val="1"/>
    <w:link w:val="42"/>
    <w:semiHidden/>
    <w:qFormat/>
    <w:uiPriority w:val="99"/>
    <w:pPr>
      <w:jc w:val="left"/>
    </w:pPr>
  </w:style>
  <w:style w:type="paragraph" w:styleId="10">
    <w:name w:val="Salutation"/>
    <w:basedOn w:val="1"/>
    <w:next w:val="1"/>
    <w:qFormat/>
    <w:uiPriority w:val="0"/>
    <w:rPr>
      <w:rFonts w:ascii="ˎ̥" w:hAnsi="ˎ̥" w:cs="宋体"/>
      <w:kern w:val="0"/>
      <w:sz w:val="28"/>
      <w:szCs w:val="28"/>
    </w:rPr>
  </w:style>
  <w:style w:type="paragraph" w:styleId="11">
    <w:name w:val="Body Text"/>
    <w:basedOn w:val="1"/>
    <w:next w:val="1"/>
    <w:qFormat/>
    <w:uiPriority w:val="0"/>
    <w:pPr>
      <w:spacing w:after="120"/>
    </w:pPr>
  </w:style>
  <w:style w:type="paragraph" w:styleId="12">
    <w:name w:val="Body Text Indent"/>
    <w:basedOn w:val="1"/>
    <w:qFormat/>
    <w:uiPriority w:val="0"/>
    <w:pPr>
      <w:snapToGrid w:val="0"/>
      <w:spacing w:after="120" w:line="440" w:lineRule="atLeast"/>
      <w:ind w:left="420" w:leftChars="200" w:firstLine="480" w:firstLineChars="200"/>
    </w:pPr>
    <w:rPr>
      <w:sz w:val="24"/>
    </w:rPr>
  </w:style>
  <w:style w:type="paragraph" w:styleId="13">
    <w:name w:val="Plain Text"/>
    <w:basedOn w:val="1"/>
    <w:link w:val="39"/>
    <w:qFormat/>
    <w:uiPriority w:val="0"/>
    <w:pPr>
      <w:snapToGrid w:val="0"/>
      <w:spacing w:line="380" w:lineRule="atLeast"/>
    </w:pPr>
    <w:rPr>
      <w:rFonts w:cs="Courier New"/>
      <w:kern w:val="0"/>
      <w:szCs w:val="21"/>
    </w:rPr>
  </w:style>
  <w:style w:type="paragraph" w:styleId="14">
    <w:name w:val="Date"/>
    <w:basedOn w:val="1"/>
    <w:next w:val="1"/>
    <w:link w:val="47"/>
    <w:qFormat/>
    <w:uiPriority w:val="0"/>
    <w:pPr>
      <w:ind w:left="100" w:leftChars="2500"/>
    </w:pPr>
  </w:style>
  <w:style w:type="paragraph" w:styleId="15">
    <w:name w:val="Body Text Indent 2"/>
    <w:basedOn w:val="1"/>
    <w:qFormat/>
    <w:uiPriority w:val="0"/>
    <w:pPr>
      <w:ind w:firstLine="540"/>
    </w:pPr>
    <w:rPr>
      <w:sz w:val="28"/>
      <w:szCs w:val="20"/>
    </w:rPr>
  </w:style>
  <w:style w:type="paragraph" w:styleId="16">
    <w:name w:val="Balloon Text"/>
    <w:basedOn w:val="1"/>
    <w:semiHidden/>
    <w:qFormat/>
    <w:uiPriority w:val="0"/>
    <w:rPr>
      <w:sz w:val="18"/>
      <w:szCs w:val="18"/>
    </w:rPr>
  </w:style>
  <w:style w:type="paragraph" w:styleId="17">
    <w:name w:val="footer"/>
    <w:basedOn w:val="1"/>
    <w:link w:val="45"/>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296"/>
      </w:tabs>
      <w:snapToGrid w:val="0"/>
      <w:spacing w:line="440" w:lineRule="atLeast"/>
      <w:ind w:firstLine="480" w:firstLineChars="200"/>
    </w:pPr>
    <w:rPr>
      <w:sz w:val="24"/>
    </w:rPr>
  </w:style>
  <w:style w:type="paragraph" w:styleId="20">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1">
    <w:name w:val="Normal (Web)"/>
    <w:basedOn w:val="1"/>
    <w:qFormat/>
    <w:uiPriority w:val="0"/>
    <w:rPr>
      <w:sz w:val="24"/>
    </w:rPr>
  </w:style>
  <w:style w:type="paragraph" w:styleId="22">
    <w:name w:val="index 1"/>
    <w:basedOn w:val="1"/>
    <w:next w:val="1"/>
    <w:semiHidden/>
    <w:qFormat/>
    <w:uiPriority w:val="99"/>
    <w:pPr>
      <w:spacing w:line="360" w:lineRule="auto"/>
      <w:jc w:val="center"/>
    </w:pPr>
  </w:style>
  <w:style w:type="paragraph" w:styleId="23">
    <w:name w:val="annotation subject"/>
    <w:basedOn w:val="9"/>
    <w:next w:val="9"/>
    <w:semiHidden/>
    <w:qFormat/>
    <w:uiPriority w:val="0"/>
    <w:rPr>
      <w:b/>
      <w:bCs/>
    </w:rPr>
  </w:style>
  <w:style w:type="paragraph" w:styleId="24">
    <w:name w:val="Body Text First Indent"/>
    <w:basedOn w:val="1"/>
    <w:qFormat/>
    <w:uiPriority w:val="0"/>
    <w:pPr>
      <w:spacing w:line="312" w:lineRule="auto"/>
      <w:ind w:firstLine="420"/>
    </w:pPr>
  </w:style>
  <w:style w:type="paragraph" w:styleId="25">
    <w:name w:val="Body Text First Indent 2"/>
    <w:basedOn w:val="12"/>
    <w:qFormat/>
    <w:uiPriority w:val="0"/>
    <w:pPr>
      <w:ind w:firstLine="420"/>
    </w:pPr>
    <w:rPr>
      <w:rFonts w:asciiTheme="minorHAnsi" w:hAnsiTheme="minorHAnsi" w:eastAsiaTheme="minorEastAsia"/>
    </w:rPr>
  </w:style>
  <w:style w:type="table" w:styleId="27">
    <w:name w:val="Table Grid"/>
    <w:basedOn w:val="2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99"/>
    <w:rPr>
      <w:color w:val="0000FF"/>
      <w:u w:val="single"/>
    </w:rPr>
  </w:style>
  <w:style w:type="character" w:styleId="32">
    <w:name w:val="annotation reference"/>
    <w:semiHidden/>
    <w:qFormat/>
    <w:uiPriority w:val="99"/>
    <w:rPr>
      <w:sz w:val="21"/>
      <w:szCs w:val="21"/>
    </w:rPr>
  </w:style>
  <w:style w:type="paragraph" w:customStyle="1" w:styleId="33">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标题 5（有编号）（绿盟科技）"/>
    <w:basedOn w:val="1"/>
    <w:next w:val="35"/>
    <w:qFormat/>
    <w:uiPriority w:val="99"/>
    <w:pPr>
      <w:keepNext/>
      <w:keepLines/>
      <w:numPr>
        <w:ilvl w:val="4"/>
        <w:numId w:val="3"/>
      </w:numPr>
      <w:spacing w:before="280" w:after="156" w:line="377" w:lineRule="auto"/>
      <w:jc w:val="left"/>
      <w:outlineLvl w:val="4"/>
    </w:pPr>
    <w:rPr>
      <w:rFonts w:ascii="Arial" w:hAnsi="Arial" w:eastAsia="黑体" w:cs="Times New Roman"/>
      <w:b/>
      <w:kern w:val="0"/>
      <w:sz w:val="24"/>
      <w:szCs w:val="28"/>
    </w:rPr>
  </w:style>
  <w:style w:type="paragraph" w:customStyle="1" w:styleId="35">
    <w:name w:val="正文（绿盟科技）"/>
    <w:qFormat/>
    <w:uiPriority w:val="99"/>
    <w:pPr>
      <w:spacing w:line="300" w:lineRule="auto"/>
    </w:pPr>
    <w:rPr>
      <w:rFonts w:ascii="Arial" w:hAnsi="Arial" w:eastAsia="宋体" w:cs="黑体"/>
      <w:sz w:val="21"/>
      <w:szCs w:val="21"/>
      <w:lang w:val="en-US" w:eastAsia="zh-CN" w:bidi="ar-SA"/>
    </w:rPr>
  </w:style>
  <w:style w:type="character" w:customStyle="1" w:styleId="36">
    <w:name w:val="标题 2 字符"/>
    <w:link w:val="4"/>
    <w:qFormat/>
    <w:uiPriority w:val="0"/>
    <w:rPr>
      <w:rFonts w:ascii="黑体" w:eastAsia="黑体"/>
      <w:b/>
      <w:sz w:val="24"/>
      <w:szCs w:val="24"/>
    </w:rPr>
  </w:style>
  <w:style w:type="paragraph" w:customStyle="1" w:styleId="3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8">
    <w:name w:val="表格标题"/>
    <w:basedOn w:val="1"/>
    <w:qFormat/>
    <w:uiPriority w:val="0"/>
    <w:pPr>
      <w:adjustRightInd w:val="0"/>
      <w:snapToGrid w:val="0"/>
      <w:spacing w:afterLines="50"/>
      <w:jc w:val="center"/>
    </w:pPr>
    <w:rPr>
      <w:rFonts w:eastAsia="黑体"/>
      <w:bCs/>
      <w:sz w:val="32"/>
      <w:szCs w:val="32"/>
    </w:rPr>
  </w:style>
  <w:style w:type="character" w:customStyle="1" w:styleId="39">
    <w:name w:val="纯文本 字符"/>
    <w:link w:val="13"/>
    <w:qFormat/>
    <w:locked/>
    <w:uiPriority w:val="0"/>
    <w:rPr>
      <w:rFonts w:eastAsia="宋体" w:cs="Courier New"/>
      <w:sz w:val="21"/>
      <w:szCs w:val="21"/>
      <w:lang w:val="en-US" w:eastAsia="zh-CN" w:bidi="ar-SA"/>
    </w:rPr>
  </w:style>
  <w:style w:type="character" w:customStyle="1" w:styleId="40">
    <w:name w:val="页眉 Char"/>
    <w:qFormat/>
    <w:uiPriority w:val="0"/>
    <w:rPr>
      <w:rFonts w:eastAsia="宋体"/>
      <w:kern w:val="2"/>
      <w:sz w:val="18"/>
      <w:szCs w:val="18"/>
      <w:lang w:val="en-US" w:eastAsia="zh-CN" w:bidi="ar-SA"/>
    </w:rPr>
  </w:style>
  <w:style w:type="paragraph" w:customStyle="1" w:styleId="4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2">
    <w:name w:val="批注文字 字符"/>
    <w:link w:val="9"/>
    <w:semiHidden/>
    <w:qFormat/>
    <w:uiPriority w:val="99"/>
    <w:rPr>
      <w:kern w:val="2"/>
      <w:sz w:val="21"/>
      <w:szCs w:val="24"/>
    </w:rPr>
  </w:style>
  <w:style w:type="character" w:customStyle="1" w:styleId="43">
    <w:name w:val="apple-converted-space"/>
    <w:basedOn w:val="28"/>
    <w:qFormat/>
    <w:uiPriority w:val="0"/>
  </w:style>
  <w:style w:type="paragraph" w:styleId="44">
    <w:name w:val="List Paragraph"/>
    <w:basedOn w:val="1"/>
    <w:qFormat/>
    <w:uiPriority w:val="99"/>
    <w:pPr>
      <w:ind w:firstLine="420" w:firstLineChars="200"/>
    </w:pPr>
    <w:rPr>
      <w:szCs w:val="21"/>
    </w:rPr>
  </w:style>
  <w:style w:type="character" w:customStyle="1" w:styleId="45">
    <w:name w:val="页脚 字符"/>
    <w:basedOn w:val="28"/>
    <w:link w:val="17"/>
    <w:qFormat/>
    <w:uiPriority w:val="99"/>
    <w:rPr>
      <w:kern w:val="2"/>
      <w:sz w:val="18"/>
      <w:szCs w:val="18"/>
    </w:rPr>
  </w:style>
  <w:style w:type="paragraph" w:customStyle="1" w:styleId="4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日期 字符"/>
    <w:basedOn w:val="28"/>
    <w:link w:val="14"/>
    <w:qFormat/>
    <w:uiPriority w:val="0"/>
    <w:rPr>
      <w:kern w:val="2"/>
      <w:sz w:val="21"/>
      <w:szCs w:val="24"/>
    </w:rPr>
  </w:style>
  <w:style w:type="paragraph" w:customStyle="1" w:styleId="48">
    <w:name w:val="p1"/>
    <w:basedOn w:val="1"/>
    <w:qFormat/>
    <w:uiPriority w:val="0"/>
    <w:pPr>
      <w:jc w:val="left"/>
    </w:pPr>
    <w:rPr>
      <w:rFonts w:ascii="Songti SC" w:hAnsi="Songti SC" w:eastAsia="Songti SC"/>
      <w:kern w:val="0"/>
      <w:sz w:val="24"/>
    </w:rPr>
  </w:style>
  <w:style w:type="character" w:customStyle="1" w:styleId="49">
    <w:name w:val="s1"/>
    <w:basedOn w:val="28"/>
    <w:qFormat/>
    <w:uiPriority w:val="0"/>
    <w:rPr>
      <w:rFonts w:ascii="Times" w:hAnsi="Times" w:eastAsia="Times" w:cs="Times"/>
      <w:sz w:val="24"/>
      <w:szCs w:val="24"/>
    </w:rPr>
  </w:style>
  <w:style w:type="character" w:customStyle="1" w:styleId="50">
    <w:name w:val="标题 7 字符"/>
    <w:link w:val="7"/>
    <w:qFormat/>
    <w:uiPriority w:val="0"/>
    <w:rPr>
      <w:b/>
      <w:bCs/>
      <w:sz w:val="24"/>
    </w:rPr>
  </w:style>
  <w:style w:type="paragraph" w:customStyle="1" w:styleId="51">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52">
    <w:name w:val="p0"/>
    <w:basedOn w:val="1"/>
    <w:qFormat/>
    <w:uiPriority w:val="0"/>
    <w:pPr>
      <w:widowControl/>
    </w:pPr>
    <w:rPr>
      <w:kern w:val="0"/>
      <w:szCs w:val="21"/>
    </w:rPr>
  </w:style>
  <w:style w:type="paragraph" w:customStyle="1" w:styleId="53">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5731</Words>
  <Characters>5978</Characters>
  <Lines>18</Lines>
  <Paragraphs>5</Paragraphs>
  <TotalTime>67</TotalTime>
  <ScaleCrop>false</ScaleCrop>
  <LinksUpToDate>false</LinksUpToDate>
  <CharactersWithSpaces>6466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2020-01-17T00:52:00Z</dcterms:created>
  <dc:creator>王毅</dc:creator>
  <cp:lastModifiedBy>李依洁</cp:lastModifiedBy>
  <cp:lastPrinted>2018-08-15T14:51:00Z</cp:lastPrinted>
  <dcterms:modified xsi:type="dcterms:W3CDTF">2023-11-20T09:19:53Z</dcterms:modified>
  <dc:title>四川川投水务集团有限公司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F855B7CAFF38473BB50F087EB6E2547D</vt:lpwstr>
  </property>
</Properties>
</file>